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三门峡市职业道德建设十佳（先进）单位申报表</w:t>
      </w:r>
    </w:p>
    <w:p>
      <w:pPr>
        <w:spacing w:line="640" w:lineRule="exact"/>
        <w:ind w:firstLine="560" w:firstLineChars="20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填表时间：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9"/>
        <w:tblW w:w="91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671"/>
        <w:gridCol w:w="920"/>
        <w:gridCol w:w="25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三门峡市城乡一体化示范区发展改革局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三门峡市城乡一体化示范区圆通路创业中心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472000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王铮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18537185015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两年内曾获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何种荣誉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right="0" w:right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1.在三门峡市第四次全国经济普查工作中被评为突出贡献企业。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right="0" w:right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2.2020年被评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  <w:t>荣获全市商务目标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考核</w:t>
            </w:r>
            <w:r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  <w:t>先进单位称号。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ind w:firstLine="39" w:firstLineChars="14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公示情况（推荐单位填写）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>
            <w:pPr>
              <w:spacing w:line="560" w:lineRule="exact"/>
              <w:ind w:firstLine="140" w:firstLineChars="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日在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560" w:lineRule="exact"/>
              <w:ind w:left="16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  <w:u w:val="none" w:color="auto"/>
              </w:rPr>
              <w:t>（报纸或其他媒体名称）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进行了公示。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事迹简介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（500字）</w:t>
            </w:r>
          </w:p>
        </w:tc>
        <w:tc>
          <w:tcPr>
            <w:tcW w:w="71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2020年，在示范区党工委、管委会的正确领导下，发展改革局以习近平新时代中国特色社会主义思想为指导，深化职业道德“双十佳”的模范引领作用，推进职业道德建设，发挥工人阶级主力军作用，为全区经济社会高质量发展做出了应有贡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val="en-US" w:eastAsia="zh-CN"/>
              </w:rPr>
              <w:t>1.聚焦重点任务，突出落实工作的高效性。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积极发挥经济综合协调部门职责，规模以上工业增加值、一般公共财政预算收入、社会消费品零售总额等4项主要经济指标均位居全市首位。产业集聚区2019年综合排序位居全省第17位，连续两年处于全省第一梯队。国家新型工业化产业示范基地由三星级成功晋升四星级。示范区（高新区）成功获批“国家级绿色产业示范基地”。健全完善并全面落实项目谋划、项目推进、项目服务工作机制，重点项目建设整体呈现出投资大、亮点多、进展快、服务优、后劲足的特点，在全市重点项目观摩点评活动中均取得优异成绩。全年实施区重点项目82个，总投资338亿元，累计完成投资152.2亿元。总投资78亿元的宝武铝业一期项目顺利建成投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 w:firstLine="643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val="en-US" w:eastAsia="zh-CN"/>
              </w:rPr>
              <w:t>2.聚焦难点工作，突出疫情防控的常态化。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严格落实“一手抓疫情防控，一手抓经济发展”，建立了“六个一”精准服务制度，分批分类支持和组织企业复工复产，3月上旬，我区73家规模以上企业、120家规下重点监测企业实现应复尽复。先后累计为企业解决防疫物资、用工、资金、原材料及产品运输等各类问题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余个，协调解决口罩7600个、消毒液600公斤、用工157人，办理各类通行证3200余张，完成52家企业复工复产备案工作，助力全年经济目标圆满完成。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52" w:firstLineChars="203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32"/>
                <w:szCs w:val="32"/>
                <w:lang w:val="en-US" w:eastAsia="zh-CN"/>
              </w:rPr>
              <w:t>3.聚焦完善组织，突出职业道德建设的长效性。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u w:val="none" w:color="000000"/>
                <w:vertAlign w:val="baseline"/>
                <w:lang w:val="en-US" w:eastAsia="zh-CN" w:bidi="ar-SA"/>
              </w:rPr>
              <w:t>始终把职业道德建设“双十佳”评选活动作为的工会建设重要内容，组织领导坚强有力，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职业道德建设深入扎实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u w:val="none" w:color="000000"/>
                <w:vertAlign w:val="baseline"/>
                <w:lang w:val="en-US" w:eastAsia="zh-CN" w:bidi="ar-SA"/>
              </w:rPr>
              <w:t>。单位负责人亲自谋划、亲自部署、督促落实，明确专人负责，所有工作做到“五有”。通过专题会议安排、组织集中学习、开展座谈交流等形式，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职业道德、职业素养和职业操守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u w:val="none" w:color="000000"/>
                <w:vertAlign w:val="baseline"/>
                <w:lang w:val="en-US" w:eastAsia="zh-CN" w:bidi="ar-SA"/>
              </w:rPr>
              <w:t>不断提高。通过“迎新春、写对联、送祝福”、“三八妇女节趣味运动会”等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u w:val="none" w:color="000000"/>
                <w:vertAlign w:val="baseline"/>
                <w:lang w:val="en-US" w:eastAsia="zh-CN" w:bidi="ar-SA"/>
              </w:rPr>
              <w:t>10余期职工活动，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切实推进企业职工文化建设。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推荐单位意见</w:t>
            </w:r>
          </w:p>
        </w:tc>
        <w:tc>
          <w:tcPr>
            <w:tcW w:w="712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right="560" w:firstLine="4060" w:firstLineChars="14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评审意见</w:t>
            </w:r>
          </w:p>
        </w:tc>
        <w:tc>
          <w:tcPr>
            <w:tcW w:w="7123" w:type="dxa"/>
            <w:gridSpan w:val="3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ind w:right="560"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年    月    日  </w:t>
            </w:r>
          </w:p>
        </w:tc>
      </w:tr>
    </w:tbl>
    <w:p>
      <w:pPr>
        <w:spacing w:line="440" w:lineRule="exact"/>
        <w:jc w:val="left"/>
      </w:pPr>
      <w:r>
        <w:rPr>
          <w:rFonts w:hint="eastAsia" w:ascii="仿宋_GB2312" w:eastAsia="仿宋_GB2312"/>
          <w:sz w:val="28"/>
          <w:szCs w:val="28"/>
        </w:rPr>
        <w:t>三门峡市职业道德建设“双十佳”评审委员会办公室制</w:t>
      </w:r>
    </w:p>
    <w:sectPr>
      <w:headerReference r:id="rId3" w:type="default"/>
      <w:footerReference r:id="rId4" w:type="default"/>
      <w:footerReference r:id="rId5" w:type="even"/>
      <w:pgSz w:w="11905" w:h="16837"/>
      <w:pgMar w:top="1587" w:right="1587" w:bottom="1474" w:left="1587" w:header="567" w:footer="1134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11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11"/>
        <w:rFonts w:ascii="宋体" w:hAnsi="宋体"/>
        <w:sz w:val="24"/>
        <w:szCs w:val="24"/>
      </w:rPr>
      <w:t>- 5 -</w:t>
    </w:r>
    <w:r>
      <w:rPr>
        <w:rFonts w:ascii="宋体" w:hAnsi="宋体"/>
        <w:sz w:val="24"/>
        <w:szCs w:val="24"/>
      </w:rPr>
      <w:fldChar w:fldCharType="end"/>
    </w:r>
  </w:p>
  <w:p>
    <w:pPr>
      <w:widowControl w:val="0"/>
      <w:snapToGrid w:val="0"/>
      <w:spacing w:line="0" w:lineRule="atLeast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971550</wp:posOffset>
              </wp:positionH>
              <wp:positionV relativeFrom="page">
                <wp:posOffset>10151745</wp:posOffset>
              </wp:positionV>
              <wp:extent cx="561594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5pt;margin-top:799.35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fgwzXXAAAADgEAAA8AAAAAAAAAAQAgAAAAIgAAAGRycy9kb3ducmV2LnhtbFBLAQIU&#10;ABQAAAAIAIdO4kCW0evl9AEAAOA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11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11"/>
        <w:rFonts w:ascii="宋体" w:hAnsi="宋体"/>
        <w:sz w:val="24"/>
        <w:szCs w:val="24"/>
      </w:rPr>
      <w:t>- 6 -</w:t>
    </w:r>
    <w:r>
      <w:rPr>
        <w:rFonts w:ascii="宋体" w:hAnsi="宋体"/>
        <w:sz w:val="24"/>
        <w:szCs w:val="24"/>
      </w:rPr>
      <w:fldChar w:fldCharType="end"/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971550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6.5pt;margin-top:28.3pt;height:14.15pt;width:442.2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a6Jq1wAAAAoBAAAPAAAAAAAAAAEAIAAAACIAAABkcnMvZG93bnJldi54bWxQSwEC&#10;FAAUAAAACACHTuJAYGtzkvUBAADgAwAADgAAAAAAAAABACAAAAAmAQAAZHJzL2Uyb0RvYy54bWxQ&#10;SwUGAAAAAAYABgBZAQAAj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4CF7"/>
    <w:rsid w:val="0BB84CA4"/>
    <w:rsid w:val="2C47180B"/>
    <w:rsid w:val="6E412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after="0" w:line="357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vertAlign w:val="baseline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600" w:lineRule="exact"/>
      <w:jc w:val="both"/>
    </w:pPr>
    <w:rPr>
      <w:rFonts w:ascii="仿宋_GB2312" w:hAnsi="Times New Roman" w:eastAsia="仿宋_GB2312"/>
      <w:kern w:val="2"/>
      <w:sz w:val="30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1"/>
    <w:pPr>
      <w:spacing w:before="100"/>
      <w:ind w:left="735"/>
    </w:pPr>
    <w:rPr>
      <w:rFonts w:ascii="文星仿宋" w:hAnsi="文星仿宋" w:eastAsia="文星仿宋" w:cs="文星仿宋"/>
      <w:sz w:val="31"/>
      <w:szCs w:val="31"/>
      <w:lang w:val="zh-CN" w:eastAsia="zh-CN" w:bidi="zh-CN"/>
    </w:rPr>
  </w:style>
  <w:style w:type="paragraph" w:styleId="4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Body Text First Indent"/>
    <w:basedOn w:val="3"/>
    <w:next w:val="8"/>
    <w:qFormat/>
    <w:uiPriority w:val="0"/>
    <w:pPr>
      <w:ind w:firstLine="420"/>
    </w:pPr>
    <w:rPr>
      <w:bCs/>
    </w:rPr>
  </w:style>
  <w:style w:type="paragraph" w:styleId="8">
    <w:name w:val="Body Text First Indent 2"/>
    <w:basedOn w:val="4"/>
    <w:next w:val="7"/>
    <w:qFormat/>
    <w:uiPriority w:val="0"/>
    <w:pPr>
      <w:ind w:firstLine="420" w:firstLine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2021-03-17T07:35:00Z</dcterms:created>
  <dc:creator>Administrator</dc:creator>
  <cp:lastModifiedBy>小布丁楠儿</cp:lastModifiedBy>
  <dcterms:modified xsi:type="dcterms:W3CDTF">2021-03-23T12:49:16Z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