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  <w:r>
        <w:rPr>
          <w:rFonts w:hint="eastAsia" w:ascii="黑体" w:hAnsi="宋体" w:eastAsia="黑体" w:cs="黑体"/>
          <w:kern w:val="2"/>
          <w:sz w:val="52"/>
          <w:szCs w:val="52"/>
          <w:lang w:val="en-US" w:eastAsia="zh-CN" w:bidi="ar"/>
        </w:rPr>
        <w:t>2020年度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52"/>
          <w:szCs w:val="52"/>
          <w:lang w:val="en-US" w:eastAsia="zh-CN" w:bidi="ar"/>
        </w:rPr>
        <w:t>三门峡市城乡一体化示范区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  <w:r>
        <w:rPr>
          <w:rFonts w:hint="eastAsia" w:ascii="黑体" w:hAnsi="宋体" w:eastAsia="黑体" w:cs="黑体"/>
          <w:kern w:val="2"/>
          <w:sz w:val="52"/>
          <w:szCs w:val="52"/>
          <w:lang w:val="en-US" w:eastAsia="zh-CN" w:bidi="ar"/>
        </w:rPr>
        <w:t>招商融资促进局部门决算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二〇二一年九月</w:t>
      </w:r>
    </w:p>
    <w:p>
      <w:pP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目　　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第一部分　三门峡市城乡一体化示范区早上融资促进局概况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部门职责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机构设置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第二部分　2020年度部门决算情况说明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一、收入支出决算总体情况说明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二、收入决算情况说明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三、支出决算情况说明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四、财政拨款收入支出决算总体情况说明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五、一般公共预算财政拨款支出决算情况说明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六、一般公共预算财政拨款基本支出决算情况说明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七、一般公共预算财政拨款“三公”经费支出决算情况说明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八、预算绩效情况说明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九、政府性基金预算财政拨款支出决算情况说明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十、机关运行经费支出情况说明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十一、政府采购支出情况说明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十二、国有资产占用情况说明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第三部分　名词解释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  <w:r>
        <w:rPr>
          <w:rFonts w:hint="eastAsia" w:ascii="宋体" w:hAnsi="Times New Roman" w:eastAsia="宋体" w:cs="宋体"/>
          <w:sz w:val="18"/>
          <w:szCs w:val="18"/>
          <w:lang w:val="zh-CN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第一部分  三门峡市城乡一体化示范区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 xml:space="preserve">    招商融资促进局概况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tabs>
          <w:tab w:val="left" w:pos="3195"/>
        </w:tabs>
        <w:spacing w:before="0" w:beforeAutospacing="0" w:after="0" w:afterAutospacing="0"/>
        <w:ind w:left="0" w:right="0" w:firstLine="560" w:firstLineChars="200"/>
        <w:jc w:val="left"/>
        <w:outlineLvl w:val="1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一、部门职责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负责制定示范区招商引资工作规划、拟定示范区金融业发展规划；负责组织开展项目引进工作；负责协助客商做好投资项目的筹建工作；负责联系各类金融机构，为入驻金融机构提供服务。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二、机构设置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三门峡市城乡一体化示范区招商融资促进局内设机构1个，包括：机关本级。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从决算单位构成看，三门峡市城乡一体化示范区招商融资促进局部门决算包括：本级决算。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 xml:space="preserve">第二部分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sz w:val="48"/>
          <w:szCs w:val="4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2020年度部门决算情况说明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Times New Roman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仿宋_GB2312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2020年度收、支总计均为2,054.02万元。与上年度相比，收、支总计各增加1,244.59万元，增长153.76%。主要原因是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增加了盘活威尔铝业资金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2020年度收入合计2,054.02万元，其中：财政拨款收入2,054.02万元，占100%；上级补助收入0万元，占0%；事业收入0万元，占0%；经营收入0万元，占0%；附属单位上缴收入0万元，占0%；其他收入0万元，占0%。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2020年度支出合计2,027.54万元，其中：基本支出251.62万元，占12.41%；项目支出1,775.92万元，占87.59%；上缴上级支出0万元，占0%；经营支出0万元，占0%；对附属单位补助支出0万元，占0%。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2020年度财政拨款收、支总计均为2,054.02万元。与上年度相比，财政拨款收、支总计各增加1,244.59万元，增长60.59%。主要原因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是增加了盘活威尔铝业资金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2020年度一般公共预算财政拨款支出2,027.54万元，占支出合计的100%。与上年度相比，一般公共预算财政拨款支出增加1,218.11万元，增长150.489335%。主要原因是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盘活威尔铝业资金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（二）结构情况。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2020年度一般公共预算财政拨款支出2,027.54万元，主要用于以下方面：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  <w:t>一般公共服务（类）支出2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62.83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  <w:t>万元，占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12.96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  <w:t>%；卫生健康支出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11.65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  <w:t>万元，占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0.58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  <w:t>%；资源勘探工业信息等支出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1718.88万元，占84.78%；商业服务业（类）支出15.66万元，占0.77%；住房保障（类）支出18.52万元，占0.91%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2020年度一般公共预算财政拨款支出年初预算为425.26万元，支出决算为2,027.54万元，完成年初预算的476.773107%。其中：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262.83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262.83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11.65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11.65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资源勘探工业信息等支出。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调整预算数为1718.88万元，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1718.88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．商业服务业等支出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15.66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15.66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．住房保障支出。年初预算为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18.52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18.52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一般公共预算财政拨款基本支出251.62万元。其中：人员经费251.62万元，主要包括：基本工资、津贴补贴、伙食补助费、绩效工资、机关事业单位基本养老保险缴费、职业年金缴费、其他社会保障缴费、其他工资福利支出、离休费、退休费、抚恤金、生活补助、医疗费、奖励金、住房公积金、采暖补贴、物业服务补贴、其他对个人和家庭的补助支出；公用经费0万元，主要包括：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其他资本性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七、一般公共预算财政拨款“三公”经费支出决算情况说明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（一）“三公”经费财政拨款支出决算总体情况说明。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2020年度“三公”经费财政拨款支出预算为22.5万元，支出决算为21.91万元，完成预算的97.362898%。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（二）“三公”经费财政拨款支出决算具体情况说明。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“三公”经费财政拨款支出决算中，因公出国（境）费支出决算0万元，完成预算的0%，占0%；公务用车购置及运行费支出决算4.08万元，完成预算的163.13528%，占18.617094%；公务接待费支出决算17.83万元，完成预算的89.14135%，占81.382906%；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1．因公出国（境）费年初预算为0万元，支出决算为0万元，完成年初预算的0%。因公出国（境）团组数0个，因公出国（境）人次数0人。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2．公务用车购置及运行费年初预算为2.5万元，支出决算为4.08万元，完成年初预算的163.13528%，决算数与年初预算数存在差异的主要原因是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来区考察客商接待用车较多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公务用车购置支出0万元，购置车辆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台。公务用车运行支出4.08万元。主要用于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日常招商引资及来区考察客商接待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。2020年期末，单位开支财政拨款的公务用车保有量为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3.公务接待费年初预算为20万元，支出决算为17.83万元，完成年初预算的89.14135%。决算数与年初预算数存在差异的主要原因是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疫情原因，考察客商略有减少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。其中：外宾接待支出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万元。其他国内公务接待支出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17.83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万元。主要用于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外出招商引资及有意向客商来辖区考察接待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。2020年共接待国内来访团组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350批次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4000余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八、预算绩效情况说明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（一）绩效管理工作开展情况。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三门峡市财政局关于2020年财政支出绩效评价有关事项的通知》要求，本单位领导高度重视，召开绩效自评工作会议，明确任务分工，落实工作责任，通过资料收集、对照年初绩效目标，进行分析评价，顺利完成绩效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项目完成绩效目标的个数2个，没有完成绩效目标考核的目标个数0个，完成率100%。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（三）以单位为主体开展的重点绩效评价结果。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单位自评分数为100分，其中：产出指标80分，满意度指标10分，预算资金执行率10分。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九、政府性基金预算财政拨款支出决算情况说明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2020年度政府性基金预算财政拨款支出年初预算为0万元，支出决算为0万元，完成年初预算的0%。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十、机关运行经费支出情况说明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2020年度机关运行经费初预算为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251.62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251.62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十一、政府采购支出情况说明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十二、国有资产占用情况说明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2020年期末，我单位共有车辆1辆，其中：省级领导干部用车0辆、主要领导干部用车0辆、机要通信用车0辆、应急保障车0辆、执法执勤用车0辆、特种专业技术用车0辆、离退休干部用车0辆、其他用车1辆；单位价值50万元以上通用设备0台（套），单位价值100万元以上专用设备0.台（套）。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 w:val="18"/>
          <w:szCs w:val="18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F76FF"/>
    <w:multiLevelType w:val="singleLevel"/>
    <w:tmpl w:val="85BF76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54DD93"/>
    <w:multiLevelType w:val="multilevel"/>
    <w:tmpl w:val="4754DD9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F1"/>
    <w:rsid w:val="00057C9C"/>
    <w:rsid w:val="002655F1"/>
    <w:rsid w:val="002A21AF"/>
    <w:rsid w:val="00843F8F"/>
    <w:rsid w:val="00F57878"/>
    <w:rsid w:val="170D4E71"/>
    <w:rsid w:val="26D4460E"/>
    <w:rsid w:val="2BC2156C"/>
    <w:rsid w:val="3B5C7114"/>
    <w:rsid w:val="3FAD6740"/>
    <w:rsid w:val="47CD05DB"/>
    <w:rsid w:val="4D911D23"/>
    <w:rsid w:val="56043399"/>
    <w:rsid w:val="736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405</Words>
  <Characters>2315</Characters>
  <Lines>19</Lines>
  <Paragraphs>5</Paragraphs>
  <TotalTime>11</TotalTime>
  <ScaleCrop>false</ScaleCrop>
  <LinksUpToDate>false</LinksUpToDate>
  <CharactersWithSpaces>2715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2020-09-17T01:02:00Z</dcterms:created>
  <dc:creator>Administrator</dc:creator>
  <cp:lastModifiedBy>Administrator</cp:lastModifiedBy>
  <dcterms:modified xsi:type="dcterms:W3CDTF">2021-09-17T07:15:01Z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99DD4B06AD1B41AEB99FFE622ED186E4</vt:lpwstr>
  </property>
</Properties>
</file>