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jc w:val="left"/>
        <w:rPr>
          <w:rFonts w:ascii="黑体;SimHei" w:hAnsi="黑体;SimHei" w:eastAsia="黑体;SimHei" w:cs="宋体;SimSun"/>
          <w:kern w:val="0"/>
          <w:sz w:val="28"/>
          <w:szCs w:val="28"/>
        </w:rPr>
      </w:pPr>
      <w:r>
        <w:rPr>
          <w:rFonts w:eastAsia="黑体;SimHei" w:cs="宋体;SimSun" w:ascii="黑体;SimHei" w:hAnsi="黑体;SimHei"/>
          <w:kern w:val="0"/>
          <w:sz w:val="28"/>
          <w:szCs w:val="28"/>
        </w:rPr>
      </w:r>
    </w:p>
    <w:p>
      <w:pPr>
        <w:pStyle w:val="1"/>
        <w:jc w:val="center"/>
        <w:rPr>
          <w:rFonts w:ascii="黑体;SimHei" w:hAnsi="黑体;SimHei" w:eastAsia="黑体;SimHei" w:cs="黑体;SimHei"/>
          <w:color w:val="auto"/>
          <w:kern w:val="2"/>
          <w:sz w:val="48"/>
          <w:szCs w:val="48"/>
          <w:lang w:val="en-US" w:eastAsia="zh-CN" w:bidi="ar-SA"/>
        </w:rPr>
      </w:pPr>
      <w:r>
        <w:rPr>
          <w:rFonts w:ascii="黑体;SimHei" w:hAnsi="黑体;SimHei" w:cs="黑体;SimHei" w:eastAsia="黑体;SimHei"/>
          <w:sz w:val="48"/>
          <w:szCs w:val="48"/>
        </w:rPr>
        <w:t>三门峡市城乡一体化示范区农业农村</w:t>
      </w:r>
      <w:r>
        <w:rPr>
          <w:rFonts w:ascii="黑体;SimHei" w:hAnsi="黑体;SimHei" w:cs="黑体;SimHei" w:eastAsia="黑体;SimHei"/>
          <w:color w:val="auto"/>
          <w:kern w:val="2"/>
          <w:sz w:val="48"/>
          <w:szCs w:val="48"/>
          <w:lang w:val="en-US" w:eastAsia="zh-CN" w:bidi="ar-SA"/>
        </w:rPr>
        <w:t>局</w:t>
      </w:r>
    </w:p>
    <w:p>
      <w:pPr>
        <w:pStyle w:val="1"/>
        <w:jc w:val="center"/>
        <w:rPr>
          <w:rFonts w:ascii="黑体;SimHei" w:hAnsi="黑体;SimHei" w:eastAsia="黑体;SimHei" w:cs="黑体;SimHei"/>
          <w:color w:val="auto"/>
          <w:kern w:val="2"/>
          <w:sz w:val="48"/>
          <w:szCs w:val="48"/>
          <w:lang w:val="en-US" w:eastAsia="zh-CN" w:bidi="ar-SA"/>
        </w:rPr>
      </w:pPr>
      <w:r>
        <w:rPr>
          <w:rFonts w:eastAsia="黑体;SimHei" w:cs="黑体;SimHei" w:ascii="黑体;SimHei" w:hAnsi="黑体;SimHei"/>
          <w:color w:val="auto"/>
          <w:kern w:val="2"/>
          <w:sz w:val="48"/>
          <w:szCs w:val="48"/>
          <w:lang w:val="en-US" w:eastAsia="zh-CN" w:bidi="ar-SA"/>
        </w:rPr>
      </w:r>
    </w:p>
    <w:p>
      <w:pPr>
        <w:pStyle w:val="1"/>
        <w:jc w:val="center"/>
        <w:rPr>
          <w:rFonts w:ascii="黑体;SimHei" w:hAnsi="黑体;SimHei" w:eastAsia="黑体;SimHei" w:cs="黑体;SimHei"/>
          <w:sz w:val="48"/>
          <w:szCs w:val="48"/>
        </w:rPr>
      </w:pPr>
      <w:r>
        <w:rPr>
          <w:rFonts w:eastAsia="黑体;SimHei" w:cs="黑体;SimHei" w:ascii="黑体;SimHei" w:hAnsi="黑体;SimHei"/>
          <w:sz w:val="48"/>
          <w:szCs w:val="48"/>
        </w:rPr>
        <w:t>2020</w:t>
      </w:r>
      <w:r>
        <w:rPr>
          <w:rFonts w:ascii="黑体;SimHei" w:hAnsi="黑体;SimHei" w:cs="黑体;SimHei" w:eastAsia="黑体;SimHei"/>
          <w:sz w:val="48"/>
          <w:szCs w:val="48"/>
        </w:rPr>
        <w:t>年度部门决算公开</w:t>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bookmarkStart w:id="0" w:name="_GoBack"/>
      <w:bookmarkStart w:id="1" w:name="_GoBack"/>
      <w:bookmarkEnd w:id="1"/>
    </w:p>
    <w:p>
      <w:pPr>
        <w:sectPr>
          <w:headerReference w:type="default" r:id="rId2"/>
          <w:footerReference w:type="default" r:id="rId3"/>
          <w:type w:val="nextPage"/>
          <w:pgSz w:w="11906" w:h="16838"/>
          <w:pgMar w:left="1587" w:right="1531" w:header="850" w:top="1440" w:footer="992" w:bottom="1440" w:gutter="0"/>
          <w:pgNumType w:fmt="decimal"/>
          <w:formProt w:val="false"/>
          <w:textDirection w:val="lrTb"/>
          <w:docGrid w:type="lines" w:linePitch="317" w:charSpace="232652"/>
        </w:sectPr>
        <w:pStyle w:val="1"/>
        <w:jc w:val="center"/>
        <w:rPr>
          <w:rFonts w:ascii="黑体;SimHei" w:hAnsi="黑体;SimHei" w:eastAsia="黑体;SimHei" w:cs="黑体;SimHei"/>
          <w:sz w:val="32"/>
          <w:szCs w:val="32"/>
          <w:lang w:eastAsia="zh-CN"/>
        </w:rPr>
      </w:pPr>
      <w:r>
        <w:rPr>
          <w:rFonts w:ascii="黑体;SimHei" w:hAnsi="黑体;SimHei" w:cs="黑体;SimHei" w:eastAsia="黑体;SimHei"/>
          <w:sz w:val="32"/>
          <w:szCs w:val="32"/>
        </w:rPr>
        <w:t>二〇二</w:t>
      </w:r>
      <w:r>
        <w:rPr>
          <w:rFonts w:ascii="黑体;SimHei" w:hAnsi="黑体;SimHei" w:cs="黑体;SimHei" w:eastAsia="黑体;SimHei"/>
          <w:sz w:val="32"/>
          <w:szCs w:val="32"/>
          <w:lang w:eastAsia="zh-CN"/>
        </w:rPr>
        <w:t>一</w:t>
      </w:r>
      <w:r>
        <w:rPr>
          <w:rFonts w:ascii="黑体;SimHei" w:hAnsi="黑体;SimHei" w:cs="黑体;SimHei" w:eastAsia="黑体;SimHei"/>
          <w:sz w:val="32"/>
          <w:szCs w:val="32"/>
        </w:rPr>
        <w:t>年九月</w:t>
      </w:r>
    </w:p>
    <w:p>
      <w:pPr>
        <w:pStyle w:val="1"/>
        <w:spacing w:lineRule="auto" w:line="360"/>
        <w:jc w:val="center"/>
        <w:rPr>
          <w:rFonts w:ascii="黑体;SimHei" w:hAnsi="黑体;SimHei" w:eastAsia="黑体;SimHei" w:cs="黑体;SimHei"/>
          <w:sz w:val="36"/>
          <w:szCs w:val="36"/>
        </w:rPr>
      </w:pPr>
      <w:r>
        <w:rPr>
          <w:rFonts w:ascii="黑体;SimHei" w:hAnsi="黑体;SimHei" w:cs="黑体;SimHei" w:eastAsia="黑体;SimHei"/>
          <w:sz w:val="36"/>
          <w:szCs w:val="36"/>
        </w:rPr>
        <w:t>目　　录</w:t>
      </w:r>
    </w:p>
    <w:p>
      <w:pPr>
        <w:pStyle w:val="1"/>
        <w:spacing w:lineRule="auto" w:line="360"/>
        <w:jc w:val="left"/>
        <w:rPr>
          <w:rFonts w:ascii="黑体;SimHei" w:hAnsi="黑体;SimHei" w:eastAsia="黑体;SimHei" w:cs="黑体;SimHei"/>
          <w:sz w:val="32"/>
          <w:szCs w:val="32"/>
        </w:rPr>
      </w:pPr>
      <w:r>
        <w:rPr>
          <w:rFonts w:ascii="黑体;SimHei" w:hAnsi="黑体;SimHei" w:cs="黑体;SimHei" w:eastAsia="黑体;SimHei"/>
          <w:sz w:val="32"/>
          <w:szCs w:val="32"/>
        </w:rPr>
        <w:t>第一部分　　三门峡市城乡一体化示范区农业农村局概况</w:t>
      </w:r>
    </w:p>
    <w:p>
      <w:pPr>
        <w:pStyle w:val="1"/>
        <w:numPr>
          <w:ilvl w:val="0"/>
          <w:numId w:val="2"/>
        </w:numPr>
        <w:spacing w:lineRule="auto" w:line="360" w:beforeLines="0" w:beforeAutospacing="0" w:afterLines="0" w:afterAutospacing="0"/>
        <w:jc w:val="left"/>
        <w:rPr>
          <w:rFonts w:ascii="宋体;SimSun" w:hAnsi="宋体;SimSun" w:eastAsia="宋体;SimSun" w:cs="宋体;SimSun"/>
          <w:sz w:val="32"/>
          <w:szCs w:val="32"/>
        </w:rPr>
      </w:pPr>
      <w:r>
        <w:rPr>
          <w:rFonts w:ascii="宋体;SimSun" w:hAnsi="宋体;SimSun" w:cs="宋体;SimSun" w:eastAsia="宋体;SimSun"/>
          <w:sz w:val="32"/>
          <w:szCs w:val="32"/>
        </w:rPr>
        <w:t>部门职责</w:t>
      </w:r>
    </w:p>
    <w:p>
      <w:pPr>
        <w:pStyle w:val="1"/>
        <w:numPr>
          <w:ilvl w:val="0"/>
          <w:numId w:val="2"/>
        </w:numPr>
        <w:spacing w:lineRule="auto" w:line="360" w:beforeLines="0" w:beforeAutospacing="0" w:afterLines="0" w:afterAutospacing="0"/>
        <w:jc w:val="left"/>
        <w:rPr>
          <w:rFonts w:ascii="宋体;SimSun" w:hAnsi="宋体;SimSun" w:eastAsia="宋体;SimSun" w:cs="宋体;SimSun"/>
          <w:sz w:val="32"/>
          <w:szCs w:val="32"/>
        </w:rPr>
      </w:pPr>
      <w:r>
        <w:rPr>
          <w:rFonts w:ascii="宋体;SimSun" w:hAnsi="宋体;SimSun" w:cs="宋体;SimSun" w:eastAsia="宋体;SimSun"/>
          <w:sz w:val="32"/>
          <w:szCs w:val="32"/>
        </w:rPr>
        <w:t>机构设置</w:t>
      </w:r>
    </w:p>
    <w:p>
      <w:pPr>
        <w:pStyle w:val="1"/>
        <w:spacing w:lineRule="auto" w:line="360"/>
        <w:jc w:val="left"/>
        <w:rPr>
          <w:rFonts w:ascii="黑体;SimHei" w:hAnsi="黑体;SimHei" w:eastAsia="黑体;SimHei" w:cs="黑体;SimHei"/>
          <w:sz w:val="32"/>
          <w:szCs w:val="32"/>
        </w:rPr>
      </w:pPr>
      <w:r>
        <w:rPr>
          <w:rFonts w:ascii="黑体;SimHei" w:hAnsi="黑体;SimHei" w:cs="黑体;SimHei" w:eastAsia="黑体;SimHei"/>
          <w:sz w:val="32"/>
          <w:szCs w:val="32"/>
        </w:rPr>
        <w:t>第二部分　</w:t>
      </w:r>
      <w:r>
        <w:rPr>
          <w:rFonts w:eastAsia="黑体;SimHei" w:cs="黑体;SimHei" w:ascii="黑体;SimHei" w:hAnsi="黑体;SimHei"/>
          <w:color w:val="auto"/>
          <w:kern w:val="2"/>
          <w:sz w:val="32"/>
          <w:szCs w:val="32"/>
          <w:lang w:val="en-US" w:eastAsia="zh-CN" w:bidi="ar-SA"/>
        </w:rPr>
        <w:t>2020</w:t>
      </w:r>
      <w:r>
        <w:rPr>
          <w:rFonts w:ascii="黑体;SimHei" w:hAnsi="黑体;SimHei" w:cs="黑体;SimHei" w:eastAsia="黑体;SimHei"/>
          <w:sz w:val="32"/>
          <w:szCs w:val="32"/>
        </w:rPr>
        <w:t>年度部门决算情况说明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一、收入支出决算总体情况说明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二、收入决算情况说明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三、支出决算情况说明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四、财政拨款收入支出决算总体情况说明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五、一般公共预算财政拨款支出决算情况说明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六、一般公共预算财政拨款基本支出决算情况说明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七、一般公共预算财政拨款“三公”经费支出决算情况说明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八、预算绩效情况说明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九、政府性基金预算财政拨款支出决算情况说明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十、机关运行经费支出情况说明</w:t>
      </w:r>
    </w:p>
    <w:p>
      <w:pPr>
        <w:pStyle w:val="1"/>
        <w:spacing w:lineRule="auto" w:line="360"/>
        <w:jc w:val="left"/>
        <w:rPr/>
      </w:pPr>
      <w:r>
        <w:rPr>
          <w:rFonts w:ascii="宋体;SimSun" w:hAnsi="宋体;SimSun" w:cs="宋体;SimSun" w:eastAsia="宋体;SimSun"/>
          <w:color w:val="auto"/>
          <w:kern w:val="2"/>
          <w:sz w:val="32"/>
          <w:szCs w:val="32"/>
          <w:lang w:val="en-US" w:eastAsia="zh-CN" w:bidi="ar-SA"/>
        </w:rPr>
        <w:t>十一、政府采购支出情况说明</w:t>
      </w:r>
    </w:p>
    <w:p>
      <w:pPr>
        <w:pStyle w:val="1"/>
        <w:spacing w:lineRule="auto" w:line="360"/>
        <w:jc w:val="left"/>
        <w:rPr>
          <w:rFonts w:ascii="宋体;SimSun" w:hAnsi="宋体;SimSun" w:eastAsia="宋体;SimSun" w:cs="宋体;SimSun"/>
          <w:color w:val="auto"/>
          <w:kern w:val="2"/>
          <w:sz w:val="32"/>
          <w:szCs w:val="32"/>
          <w:lang w:val="en-US" w:eastAsia="zh-CN" w:bidi="ar-SA"/>
        </w:rPr>
      </w:pPr>
      <w:r>
        <w:rPr>
          <w:rFonts w:ascii="宋体;SimSun" w:hAnsi="宋体;SimSun" w:cs="宋体;SimSun" w:eastAsia="宋体;SimSun"/>
          <w:color w:val="auto"/>
          <w:kern w:val="2"/>
          <w:sz w:val="32"/>
          <w:szCs w:val="32"/>
          <w:lang w:val="en-US" w:eastAsia="zh-CN" w:bidi="ar-SA"/>
        </w:rPr>
        <w:t>十二、国有资产占用情况说明</w:t>
      </w:r>
    </w:p>
    <w:p>
      <w:pPr>
        <w:pStyle w:val="1"/>
        <w:spacing w:lineRule="auto" w:line="360"/>
        <w:jc w:val="left"/>
        <w:rPr>
          <w:rFonts w:ascii="黑体;SimHei" w:hAnsi="黑体;SimHei" w:eastAsia="黑体;SimHei" w:cs="黑体;SimHei"/>
          <w:sz w:val="32"/>
          <w:szCs w:val="32"/>
        </w:rPr>
      </w:pPr>
      <w:r>
        <w:rPr>
          <w:rFonts w:ascii="黑体;SimHei" w:hAnsi="黑体;SimHei" w:cs="黑体;SimHei" w:eastAsia="黑体;SimHei"/>
          <w:sz w:val="32"/>
          <w:szCs w:val="32"/>
        </w:rPr>
        <w:t>第三部分　　名词解释</w:t>
      </w:r>
    </w:p>
    <w:p>
      <w:pPr>
        <w:pStyle w:val="1"/>
        <w:spacing w:lineRule="auto" w:line="360"/>
        <w:jc w:val="left"/>
        <w:rPr>
          <w:rFonts w:ascii="黑体;SimHei" w:hAnsi="黑体;SimHei" w:eastAsia="黑体;SimHei" w:cs="黑体;SimHei"/>
          <w:sz w:val="32"/>
          <w:szCs w:val="32"/>
        </w:rPr>
      </w:pPr>
      <w:r>
        <w:rPr>
          <w:rFonts w:eastAsia="黑体;SimHei" w:cs="黑体;SimHei" w:ascii="黑体;SimHei" w:hAnsi="黑体;SimHei"/>
          <w:sz w:val="32"/>
          <w:szCs w:val="32"/>
        </w:rPr>
      </w:r>
    </w:p>
    <w:p>
      <w:pPr>
        <w:pStyle w:val="1"/>
        <w:widowControl/>
        <w:jc w:val="left"/>
        <w:rPr>
          <w:rFonts w:ascii="黑体;SimHei" w:hAnsi="黑体;SimHei" w:eastAsia="黑体;SimHei" w:cs="宋体;SimSun"/>
          <w:kern w:val="0"/>
          <w:sz w:val="28"/>
          <w:szCs w:val="28"/>
        </w:rPr>
      </w:pPr>
      <w:r>
        <w:rPr>
          <w:rFonts w:eastAsia="黑体;SimHei" w:cs="宋体;SimSun" w:ascii="黑体;SimHei" w:hAnsi="黑体;SimHei"/>
          <w:kern w:val="0"/>
          <w:sz w:val="28"/>
          <w:szCs w:val="28"/>
        </w:rPr>
      </w:r>
    </w:p>
    <w:p>
      <w:pPr>
        <w:pStyle w:val="1"/>
        <w:widowControl/>
        <w:jc w:val="left"/>
        <w:rPr>
          <w:rFonts w:ascii="黑体;SimHei" w:hAnsi="黑体;SimHei" w:eastAsia="黑体;SimHei" w:cs="宋体;SimSun"/>
          <w:kern w:val="0"/>
          <w:sz w:val="28"/>
          <w:szCs w:val="28"/>
        </w:rPr>
      </w:pPr>
      <w:r>
        <w:rPr>
          <w:rFonts w:eastAsia="黑体;SimHei" w:cs="宋体;SimSun" w:ascii="黑体;SimHei" w:hAnsi="黑体;SimHei"/>
          <w:kern w:val="0"/>
          <w:sz w:val="28"/>
          <w:szCs w:val="28"/>
        </w:rPr>
      </w:r>
    </w:p>
    <w:p>
      <w:pPr>
        <w:pStyle w:val="1"/>
        <w:widowControl/>
        <w:numPr>
          <w:ilvl w:val="0"/>
          <w:numId w:val="0"/>
        </w:numPr>
        <w:ind/>
        <w:jc w:val="center"/>
        <w:outlineLvl w:val="0"/>
        <w:rPr>
          <w:rFonts w:ascii="黑体;SimHei" w:hAnsi="黑体;SimHei" w:eastAsia="黑体;SimHei" w:cs="黑体;SimHei"/>
          <w:sz w:val="48"/>
          <w:szCs w:val="48"/>
        </w:rPr>
      </w:pPr>
      <w:r>
        <w:rPr/>
      </w:r>
    </w:p>
    <w:p>
      <w:pPr>
        <w:pStyle w:val="1"/>
        <w:widowControl/>
        <w:numPr>
          <w:ilvl w:val="0"/>
          <w:numId w:val="0"/>
        </w:numPr>
        <w:ind/>
        <w:jc w:val="center"/>
        <w:outlineLvl w:val="0"/>
        <w:rPr/>
      </w:pPr>
      <w:r>
        <w:rPr>
          <w:rFonts w:ascii="黑体;SimHei" w:hAnsi="黑体;SimHei" w:cs="黑体;SimHei" w:eastAsia="黑体;SimHei"/>
          <w:sz w:val="48"/>
          <w:szCs w:val="48"/>
        </w:rPr>
        <w:t xml:space="preserve">第一部分  </w:t>
      </w:r>
    </w:p>
    <w:p>
      <w:pPr>
        <w:pStyle w:val="1"/>
        <w:widowControl/>
        <w:numPr>
          <w:ilvl w:val="0"/>
          <w:numId w:val="0"/>
        </w:numPr>
        <w:ind/>
        <w:jc w:val="center"/>
        <w:outlineLvl w:val="0"/>
        <w:rPr>
          <w:rFonts w:ascii="黑体;SimHei" w:hAnsi="黑体;SimHei" w:eastAsia="黑体;SimHei" w:cs="宋体;SimSun"/>
          <w:kern w:val="0"/>
          <w:sz w:val="28"/>
          <w:szCs w:val="28"/>
        </w:rPr>
      </w:pPr>
      <w:r>
        <w:rPr>
          <w:rFonts w:ascii="黑体;SimHei" w:hAnsi="黑体;SimHei" w:cs="黑体;SimHei" w:eastAsia="黑体;SimHei"/>
          <w:sz w:val="48"/>
          <w:szCs w:val="48"/>
        </w:rPr>
        <w:t>三门峡市城乡一体化示范区农业农村</w:t>
      </w:r>
    </w:p>
    <w:p>
      <w:pPr>
        <w:pStyle w:val="1"/>
        <w:widowControl/>
        <w:numPr>
          <w:ilvl w:val="0"/>
          <w:numId w:val="0"/>
        </w:numPr>
        <w:ind/>
        <w:jc w:val="center"/>
        <w:outlineLvl w:val="0"/>
        <w:rPr>
          <w:rFonts w:ascii="黑体;SimHei" w:hAnsi="黑体;SimHei" w:eastAsia="黑体;SimHei" w:cs="宋体;SimSun"/>
          <w:kern w:val="0"/>
          <w:sz w:val="28"/>
          <w:szCs w:val="28"/>
        </w:rPr>
      </w:pPr>
      <w:r>
        <w:rPr>
          <w:rFonts w:ascii="黑体;SimHei" w:hAnsi="黑体;SimHei" w:cs="黑体;SimHei" w:eastAsia="黑体;SimHei"/>
          <w:sz w:val="48"/>
          <w:szCs w:val="48"/>
        </w:rPr>
        <w:t>局概况</w:t>
      </w:r>
    </w:p>
    <w:p>
      <w:pPr>
        <w:pStyle w:val="1"/>
        <w:widowControl/>
        <w:jc w:val="left"/>
        <w:rPr/>
      </w:pPr>
      <w:r>
        <w:rPr>
          <w:rFonts w:ascii="黑体;SimHei" w:hAnsi="黑体;SimHei" w:cs="黑体;SimHei" w:eastAsia="黑体;SimHei"/>
          <w:kern w:val="0"/>
          <w:sz w:val="32"/>
          <w:szCs w:val="32"/>
        </w:rPr>
        <w:t>一、部门</w:t>
      </w:r>
      <w:r>
        <w:rPr>
          <w:rFonts w:ascii="黑体;SimHei" w:hAnsi="黑体;SimHei" w:cs="黑体;SimHei" w:eastAsia="黑体;SimHei"/>
          <w:bCs/>
          <w:sz w:val="32"/>
          <w:szCs w:val="32"/>
        </w:rPr>
        <w:t>职责</w:t>
      </w:r>
    </w:p>
    <w:p>
      <w:pPr>
        <w:pStyle w:val="1"/>
        <w:widowControl/>
        <w:numPr>
          <w:ilvl w:val="0"/>
          <w:numId w:val="0"/>
        </w:numPr>
        <w:tabs>
          <w:tab w:val="clear" w:pos="720"/>
          <w:tab w:val="left" w:pos="3195" w:leader="none"/>
        </w:tabs>
        <w:ind/>
        <w:jc w:val="left"/>
        <w:outlineLvl w:val="1"/>
        <w:rPr/>
      </w:pPr>
      <w:r>
        <w:rPr>
          <w:rFonts w:ascii="仿宋_GB2312" w:hAnsi="仿宋_GB2312" w:cs="仿宋_GB2312" w:eastAsia="仿宋_GB2312"/>
          <w:bCs/>
          <w:color w:val="auto"/>
          <w:kern w:val="0"/>
          <w:sz w:val="32"/>
          <w:szCs w:val="32"/>
          <w:lang w:val="en-US" w:eastAsia="zh-CN" w:bidi="ar-SA"/>
        </w:rPr>
        <w:t xml:space="preserve">    </w:t>
      </w:r>
      <w:r>
        <w:rPr>
          <w:rFonts w:ascii="仿宋_GB2312" w:hAnsi="仿宋_GB2312" w:cs="仿宋_GB2312" w:eastAsia="仿宋_GB2312"/>
          <w:bCs/>
          <w:color w:val="auto"/>
          <w:kern w:val="0"/>
          <w:sz w:val="32"/>
          <w:szCs w:val="32"/>
          <w:lang w:val="en-US" w:eastAsia="zh-CN" w:bidi="ar-SA"/>
        </w:rPr>
        <w:t>根据三编【</w:t>
      </w:r>
      <w:r>
        <w:rPr>
          <w:rFonts w:eastAsia="仿宋_GB2312" w:cs="仿宋_GB2312" w:ascii="仿宋_GB2312" w:hAnsi="仿宋_GB2312"/>
          <w:bCs/>
          <w:color w:val="auto"/>
          <w:kern w:val="0"/>
          <w:sz w:val="32"/>
          <w:szCs w:val="32"/>
          <w:lang w:val="en-US" w:eastAsia="zh-CN" w:bidi="ar-SA"/>
        </w:rPr>
        <w:t>2019</w:t>
      </w:r>
      <w:r>
        <w:rPr>
          <w:rFonts w:ascii="仿宋_GB2312" w:hAnsi="仿宋_GB2312" w:cs="仿宋_GB2312" w:eastAsia="仿宋_GB2312"/>
          <w:bCs/>
          <w:color w:val="auto"/>
          <w:kern w:val="0"/>
          <w:sz w:val="32"/>
          <w:szCs w:val="32"/>
          <w:lang w:val="en-US" w:eastAsia="zh-CN" w:bidi="ar-SA"/>
        </w:rPr>
        <w:t>】</w:t>
      </w:r>
      <w:r>
        <w:rPr>
          <w:rFonts w:eastAsia="仿宋_GB2312" w:cs="仿宋_GB2312" w:ascii="仿宋_GB2312" w:hAnsi="仿宋_GB2312"/>
          <w:bCs/>
          <w:color w:val="auto"/>
          <w:kern w:val="0"/>
          <w:sz w:val="32"/>
          <w:szCs w:val="32"/>
          <w:lang w:val="en-US" w:eastAsia="zh-CN" w:bidi="ar-SA"/>
        </w:rPr>
        <w:t>11</w:t>
      </w:r>
      <w:r>
        <w:rPr>
          <w:rFonts w:ascii="仿宋_GB2312" w:hAnsi="仿宋_GB2312" w:cs="仿宋_GB2312" w:eastAsia="仿宋_GB2312"/>
          <w:bCs/>
          <w:color w:val="auto"/>
          <w:kern w:val="0"/>
          <w:sz w:val="32"/>
          <w:szCs w:val="32"/>
          <w:lang w:val="en-US" w:eastAsia="zh-CN" w:bidi="ar-SA"/>
        </w:rPr>
        <w:t>号文件，三门峡市城乡一体化示范区农业农村局</w:t>
      </w:r>
      <w:r>
        <w:rPr>
          <w:rFonts w:eastAsia="仿宋_GB2312" w:cs="仿宋_GB2312" w:ascii="仿宋_GB2312" w:hAnsi="仿宋_GB2312"/>
          <w:bCs/>
          <w:color w:val="auto"/>
          <w:kern w:val="0"/>
          <w:sz w:val="32"/>
          <w:szCs w:val="32"/>
          <w:lang w:val="en-US" w:eastAsia="zh-CN" w:bidi="ar-SA"/>
        </w:rPr>
        <w:t>2019</w:t>
      </w:r>
      <w:r>
        <w:rPr>
          <w:rFonts w:ascii="仿宋_GB2312" w:hAnsi="仿宋_GB2312" w:cs="仿宋_GB2312" w:eastAsia="仿宋_GB2312"/>
          <w:bCs/>
          <w:color w:val="auto"/>
          <w:kern w:val="0"/>
          <w:sz w:val="32"/>
          <w:szCs w:val="32"/>
          <w:lang w:val="en-US" w:eastAsia="zh-CN" w:bidi="ar-SA"/>
        </w:rPr>
        <w:t>年</w:t>
      </w:r>
      <w:r>
        <w:rPr>
          <w:rFonts w:eastAsia="仿宋_GB2312" w:cs="仿宋_GB2312" w:ascii="仿宋_GB2312" w:hAnsi="仿宋_GB2312"/>
          <w:bCs/>
          <w:color w:val="auto"/>
          <w:kern w:val="0"/>
          <w:sz w:val="32"/>
          <w:szCs w:val="32"/>
          <w:lang w:val="en-US" w:eastAsia="zh-CN" w:bidi="ar-SA"/>
        </w:rPr>
        <w:t>8</w:t>
      </w:r>
      <w:r>
        <w:rPr>
          <w:rFonts w:ascii="仿宋_GB2312" w:hAnsi="仿宋_GB2312" w:cs="仿宋_GB2312" w:eastAsia="仿宋_GB2312"/>
          <w:bCs/>
          <w:color w:val="auto"/>
          <w:kern w:val="0"/>
          <w:sz w:val="32"/>
          <w:szCs w:val="32"/>
          <w:lang w:val="en-US" w:eastAsia="zh-CN" w:bidi="ar-SA"/>
        </w:rPr>
        <w:t>月成立，与三门峡市城乡一体化示范区农业农村服务中心合并办公，主要职责为负责示范区农业投资项目、农业综合开发项目、农田整治项目、农田水利建设项目等农业农村管理工作。</w:t>
      </w:r>
    </w:p>
    <w:p>
      <w:pPr>
        <w:pStyle w:val="1"/>
        <w:widowControl/>
        <w:numPr>
          <w:ilvl w:val="0"/>
          <w:numId w:val="0"/>
        </w:numPr>
        <w:ind/>
        <w:jc w:val="left"/>
        <w:outlineLvl w:val="1"/>
        <w:rPr>
          <w:rFonts w:ascii="黑体;SimHei" w:hAnsi="黑体;SimHei" w:eastAsia="黑体;SimHei" w:cs="黑体;SimHei"/>
          <w:kern w:val="0"/>
          <w:sz w:val="32"/>
          <w:szCs w:val="32"/>
        </w:rPr>
      </w:pPr>
      <w:r>
        <w:rPr>
          <w:rFonts w:ascii="黑体;SimHei" w:hAnsi="黑体;SimHei" w:cs="黑体;SimHei" w:eastAsia="黑体;SimHei"/>
          <w:kern w:val="0"/>
          <w:sz w:val="32"/>
          <w:szCs w:val="32"/>
        </w:rPr>
        <w:t>二、机构设置</w:t>
      </w:r>
    </w:p>
    <w:p>
      <w:pPr>
        <w:pStyle w:val="1"/>
        <w:widowControl/>
        <w:jc w:val="left"/>
        <w:rPr>
          <w:rFonts w:ascii="仿宋_GB2312" w:hAnsi="仿宋_GB2312" w:eastAsia="仿宋_GB2312" w:cs="仿宋_GB2312"/>
          <w:kern w:val="0"/>
          <w:sz w:val="32"/>
          <w:szCs w:val="32"/>
        </w:rPr>
      </w:pP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1</w:t>
      </w:r>
      <w:r>
        <w:rPr>
          <w:rFonts w:ascii="仿宋_GB2312" w:hAnsi="仿宋_GB2312" w:cs="仿宋_GB2312" w:eastAsia="仿宋_GB2312"/>
          <w:kern w:val="0"/>
          <w:sz w:val="32"/>
          <w:szCs w:val="32"/>
        </w:rPr>
        <w:t>）机构情况：根据三示范农发【</w:t>
      </w:r>
      <w:r>
        <w:rPr>
          <w:rFonts w:eastAsia="仿宋_GB2312" w:cs="仿宋_GB2312" w:ascii="仿宋_GB2312" w:hAnsi="仿宋_GB2312"/>
          <w:kern w:val="0"/>
          <w:sz w:val="32"/>
          <w:szCs w:val="32"/>
        </w:rPr>
        <w:t>2019</w:t>
      </w: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41</w:t>
      </w:r>
      <w:r>
        <w:rPr>
          <w:rFonts w:ascii="仿宋_GB2312" w:hAnsi="仿宋_GB2312" w:cs="仿宋_GB2312" w:eastAsia="仿宋_GB2312"/>
          <w:kern w:val="0"/>
          <w:sz w:val="32"/>
          <w:szCs w:val="32"/>
        </w:rPr>
        <w:t>号文件，农业农村局下设五个职能科室：办公室、财务科、农业科、水利科、林业科。</w:t>
      </w:r>
      <w:r>
        <w:rPr>
          <w:rFonts w:eastAsia="仿宋_GB2312" w:cs="仿宋_GB2312" w:ascii="仿宋_GB2312" w:hAnsi="仿宋_GB2312"/>
          <w:kern w:val="0"/>
          <w:sz w:val="32"/>
          <w:szCs w:val="32"/>
        </w:rPr>
        <w:br/>
      </w: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2</w:t>
      </w:r>
      <w:r>
        <w:rPr>
          <w:rFonts w:ascii="仿宋_GB2312" w:hAnsi="仿宋_GB2312" w:cs="仿宋_GB2312" w:eastAsia="仿宋_GB2312"/>
          <w:kern w:val="0"/>
          <w:sz w:val="32"/>
          <w:szCs w:val="32"/>
        </w:rPr>
        <w:t>）人员情况：根据三示范区文【</w:t>
      </w:r>
      <w:r>
        <w:rPr>
          <w:rFonts w:eastAsia="仿宋_GB2312" w:cs="仿宋_GB2312" w:ascii="仿宋_GB2312" w:hAnsi="仿宋_GB2312"/>
          <w:kern w:val="0"/>
          <w:sz w:val="32"/>
          <w:szCs w:val="32"/>
        </w:rPr>
        <w:t>2019</w:t>
      </w: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56</w:t>
      </w:r>
      <w:r>
        <w:rPr>
          <w:rFonts w:ascii="仿宋_GB2312" w:hAnsi="仿宋_GB2312" w:cs="仿宋_GB2312" w:eastAsia="仿宋_GB2312"/>
          <w:kern w:val="0"/>
          <w:sz w:val="32"/>
          <w:szCs w:val="32"/>
        </w:rPr>
        <w:t>号文件，农业农村局现有行政在职人员</w:t>
      </w:r>
      <w:r>
        <w:rPr>
          <w:rFonts w:eastAsia="仿宋_GB2312" w:cs="仿宋_GB2312" w:ascii="仿宋_GB2312" w:hAnsi="仿宋_GB2312"/>
          <w:kern w:val="0"/>
          <w:sz w:val="32"/>
          <w:szCs w:val="32"/>
        </w:rPr>
        <w:t>2</w:t>
      </w:r>
      <w:r>
        <w:rPr>
          <w:rFonts w:ascii="仿宋_GB2312" w:hAnsi="仿宋_GB2312" w:cs="仿宋_GB2312" w:eastAsia="仿宋_GB2312"/>
          <w:kern w:val="0"/>
          <w:sz w:val="32"/>
          <w:szCs w:val="32"/>
        </w:rPr>
        <w:t>名。</w:t>
      </w:r>
    </w:p>
    <w:p>
      <w:pPr>
        <w:sectPr>
          <w:headerReference w:type="default" r:id="rId4"/>
          <w:footerReference w:type="default" r:id="rId5"/>
          <w:type w:val="nextPage"/>
          <w:pgSz w:w="11906" w:h="16838"/>
          <w:pgMar w:left="1800" w:right="1800" w:header="720" w:top="1440" w:footer="720" w:bottom="1440" w:gutter="0"/>
          <w:pgNumType w:fmt="decimal"/>
          <w:formProt w:val="false"/>
          <w:textDirection w:val="lrTb"/>
          <w:docGrid w:type="lines" w:linePitch="312" w:charSpace="232652"/>
        </w:sectPr>
        <w:pStyle w:val="1"/>
        <w:widowControl/>
        <w:jc w:val="left"/>
        <w:rPr>
          <w:rFonts w:ascii="仿宋_GB2312" w:hAnsi="仿宋_GB2312" w:eastAsia="仿宋_GB2312" w:cs="仿宋_GB2312"/>
          <w:kern w:val="0"/>
          <w:sz w:val="32"/>
          <w:szCs w:val="32"/>
        </w:rPr>
      </w:pPr>
      <w:r>
        <w:rPr>
          <w:rFonts w:eastAsia="仿宋_GB2312" w:cs="仿宋_GB2312" w:ascii="仿宋_GB2312" w:hAnsi="仿宋_GB2312"/>
          <w:kern w:val="0"/>
          <w:sz w:val="32"/>
          <w:szCs w:val="32"/>
        </w:rPr>
      </w:r>
    </w:p>
    <w:p>
      <w:pPr>
        <w:pStyle w:val="1"/>
        <w:numPr>
          <w:ilvl w:val="0"/>
          <w:numId w:val="3"/>
        </w:numPr>
        <w:jc w:val="center"/>
        <w:outlineLvl w:val="0"/>
        <w:rPr>
          <w:rFonts w:ascii="黑体;SimHei" w:hAnsi="黑体;SimHei" w:eastAsia="黑体;SimHei" w:cs="黑体;SimHei"/>
          <w:sz w:val="48"/>
          <w:szCs w:val="48"/>
        </w:rPr>
      </w:pPr>
      <w:r>
        <w:rPr>
          <w:rFonts w:ascii="黑体;SimHei" w:hAnsi="黑体;SimHei" w:cs="黑体;SimHei" w:eastAsia="黑体;SimHei"/>
          <w:sz w:val="48"/>
          <w:szCs w:val="48"/>
        </w:rPr>
        <w:t xml:space="preserve"> </w:t>
      </w:r>
    </w:p>
    <w:p>
      <w:pPr>
        <w:pStyle w:val="1"/>
        <w:numPr>
          <w:ilvl w:val="0"/>
          <w:numId w:val="0"/>
        </w:numPr>
        <w:ind/>
        <w:jc w:val="center"/>
        <w:outlineLvl w:val="0"/>
        <w:rPr>
          <w:rFonts w:ascii="黑体;SimHei" w:hAnsi="黑体;SimHei" w:eastAsia="黑体;SimHei" w:cs="黑体;SimHei"/>
          <w:sz w:val="48"/>
          <w:szCs w:val="48"/>
        </w:rPr>
      </w:pPr>
      <w:r>
        <w:rPr>
          <w:rFonts w:eastAsia="黑体;SimHei" w:cs="黑体;SimHei" w:ascii="黑体;SimHei" w:hAnsi="黑体;SimHei"/>
          <w:color w:val="auto"/>
          <w:kern w:val="2"/>
          <w:sz w:val="48"/>
          <w:szCs w:val="48"/>
          <w:lang w:val="en-US" w:eastAsia="zh-CN" w:bidi="ar-SA"/>
        </w:rPr>
        <w:t>2020</w:t>
      </w:r>
      <w:r>
        <w:rPr>
          <w:rFonts w:ascii="黑体;SimHei" w:hAnsi="黑体;SimHei" w:cs="黑体;SimHei" w:eastAsia="黑体;SimHei"/>
          <w:sz w:val="48"/>
          <w:szCs w:val="48"/>
        </w:rPr>
        <w:t>年度部门决算情况说明</w:t>
      </w:r>
    </w:p>
    <w:p>
      <w:pPr>
        <w:pStyle w:val="1"/>
        <w:widowControl/>
        <w:rPr>
          <w:rFonts w:ascii="黑体;SimHei" w:hAnsi="黑体;SimHei" w:eastAsia="黑体;SimHei" w:cs="宋体;SimSun"/>
          <w:kern w:val="0"/>
          <w:sz w:val="32"/>
          <w:szCs w:val="32"/>
          <w:lang w:val="zh-CN"/>
        </w:rPr>
      </w:pPr>
      <w:r>
        <w:rPr>
          <w:rFonts w:ascii="黑体;SimHei" w:hAnsi="黑体;SimHei" w:cs="宋体;SimSun" w:eastAsia="黑体;SimHei"/>
          <w:color w:val="auto"/>
          <w:kern w:val="0"/>
          <w:sz w:val="32"/>
          <w:szCs w:val="32"/>
          <w:lang w:val="zh-CN"/>
        </w:rPr>
        <w:t>一、收入支出决算总体情况说明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年度收、支总计均为</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万元。与上年度相比，收、支总计各增加</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万元，增长</w:t>
      </w:r>
      <w:r>
        <w:rPr>
          <w:rFonts w:eastAsia="仿宋_GB2312" w:cs="宋体;SimSun" w:ascii="仿宋_GB2312" w:hAnsi="仿宋_GB2312"/>
          <w:color w:val="auto"/>
          <w:kern w:val="0"/>
          <w:sz w:val="32"/>
          <w:szCs w:val="32"/>
          <w:lang w:val="en-US" w:eastAsia="zh-CN" w:bidi="ar-SA"/>
        </w:rPr>
        <w:t>10</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。主要原因是为本年度新增单位。</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二、收入决算情况说明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年度收入合计</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万元，其中：财政拨款收入</w:t>
      </w:r>
      <w:r>
        <w:rPr>
          <w:rFonts w:eastAsia="仿宋_GB2312" w:cs="宋体;SimSun" w:ascii="仿宋_GB2312" w:hAnsi="仿宋_GB2312"/>
          <w:color w:val="auto"/>
          <w:kern w:val="0"/>
          <w:sz w:val="32"/>
          <w:szCs w:val="32"/>
          <w:lang w:val="en-US" w:eastAsia="zh-CN" w:bidi="ar-SA"/>
        </w:rPr>
        <w:t>5887.78</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en-US" w:eastAsia="zh-CN" w:bidi="ar-SA"/>
        </w:rPr>
        <w:t>100</w:t>
      </w:r>
      <w:r>
        <w:rPr>
          <w:rFonts w:eastAsia="仿宋_GB2312" w:cs="宋体;SimSun" w:ascii="仿宋_GB2312" w:hAnsi="仿宋_GB2312"/>
          <w:color w:val="auto"/>
          <w:kern w:val="0"/>
          <w:sz w:val="32"/>
          <w:szCs w:val="32"/>
          <w:lang w:val="zh-CN" w:eastAsia="zh-CN" w:bidi="ar-SA"/>
        </w:rPr>
        <w:t>%</w:t>
      </w:r>
      <w:r>
        <w:rPr>
          <w:rFonts w:ascii="仿宋_GB2312" w:hAnsi="仿宋_GB2312" w:cs="宋体;SimSun" w:eastAsia="仿宋_GB2312"/>
          <w:color w:val="auto"/>
          <w:kern w:val="0"/>
          <w:sz w:val="32"/>
          <w:szCs w:val="32"/>
          <w:lang w:val="zh-CN" w:eastAsia="zh-CN" w:bidi="ar-SA"/>
        </w:rPr>
        <w:t>；上级补助收入</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；事业收入</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；经营收入</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；附属单位上缴收入</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；其他收入</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三、支出决算情况说明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年度支出合计</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万元，其中：基本支出</w:t>
      </w:r>
      <w:r>
        <w:rPr>
          <w:rFonts w:eastAsia="仿宋_GB2312" w:cs="宋体;SimSun" w:ascii="仿宋_GB2312" w:hAnsi="仿宋_GB2312"/>
          <w:color w:val="auto"/>
          <w:kern w:val="0"/>
          <w:sz w:val="32"/>
          <w:szCs w:val="32"/>
          <w:lang w:val="zh-CN" w:eastAsia="zh-CN" w:bidi="ar-SA"/>
        </w:rPr>
        <w:t>34</w:t>
      </w:r>
      <w:r>
        <w:rPr>
          <w:rFonts w:eastAsia="仿宋_GB2312" w:cs="宋体;SimSun" w:ascii="仿宋_GB2312" w:hAnsi="仿宋_GB2312"/>
          <w:color w:val="auto"/>
          <w:kern w:val="0"/>
          <w:sz w:val="32"/>
          <w:szCs w:val="32"/>
          <w:lang w:val="en-US" w:eastAsia="zh-CN" w:bidi="ar-SA"/>
        </w:rPr>
        <w:t>4</w:t>
      </w:r>
      <w:r>
        <w:rPr>
          <w:rFonts w:eastAsia="仿宋_GB2312" w:cs="宋体;SimSun" w:ascii="仿宋_GB2312" w:hAnsi="仿宋_GB2312"/>
          <w:color w:val="auto"/>
          <w:kern w:val="0"/>
          <w:sz w:val="32"/>
          <w:szCs w:val="32"/>
          <w:lang w:val="zh-CN" w:eastAsia="zh-CN" w:bidi="ar-SA"/>
        </w:rPr>
        <w:t>.45</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0.59%</w:t>
      </w:r>
      <w:r>
        <w:rPr>
          <w:rFonts w:ascii="仿宋_GB2312" w:hAnsi="仿宋_GB2312" w:cs="宋体;SimSun" w:eastAsia="仿宋_GB2312"/>
          <w:color w:val="auto"/>
          <w:kern w:val="0"/>
          <w:sz w:val="32"/>
          <w:szCs w:val="32"/>
          <w:lang w:val="zh-CN" w:eastAsia="zh-CN" w:bidi="ar-SA"/>
        </w:rPr>
        <w:t>；项目支出</w:t>
      </w:r>
      <w:r>
        <w:rPr>
          <w:rFonts w:eastAsia="仿宋_GB2312" w:cs="宋体;SimSun" w:ascii="仿宋_GB2312" w:hAnsi="仿宋_GB2312"/>
          <w:color w:val="auto"/>
          <w:kern w:val="0"/>
          <w:sz w:val="32"/>
          <w:szCs w:val="32"/>
          <w:lang w:val="zh-CN" w:eastAsia="zh-CN" w:bidi="ar-SA"/>
        </w:rPr>
        <w:t>5,853.33</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99.41%</w:t>
      </w:r>
      <w:r>
        <w:rPr>
          <w:rFonts w:ascii="仿宋_GB2312" w:hAnsi="仿宋_GB2312" w:cs="宋体;SimSun" w:eastAsia="仿宋_GB2312"/>
          <w:color w:val="auto"/>
          <w:kern w:val="0"/>
          <w:sz w:val="32"/>
          <w:szCs w:val="32"/>
          <w:lang w:val="zh-CN" w:eastAsia="zh-CN" w:bidi="ar-SA"/>
        </w:rPr>
        <w:t>；上缴上级支出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；经营支出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；对附属单位补助支出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四、财政拨款收入支出决算总体情况说明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年度财政拨款收、支总计均为</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万元。与上年度相比，财政拨款收、支总计各增加</w:t>
      </w:r>
      <w:r>
        <w:rPr>
          <w:rFonts w:eastAsia="仿宋_GB2312" w:cs="宋体;SimSun" w:ascii="仿宋_GB2312" w:hAnsi="仿宋_GB2312"/>
          <w:color w:val="auto"/>
          <w:kern w:val="0"/>
          <w:sz w:val="32"/>
          <w:szCs w:val="32"/>
          <w:lang w:val="zh-CN" w:eastAsia="zh-CN" w:bidi="ar-SA"/>
        </w:rPr>
        <w:t>5,887.78</w:t>
      </w:r>
      <w:r>
        <w:rPr>
          <w:rFonts w:ascii="仿宋_GB2312" w:hAnsi="仿宋_GB2312" w:cs="宋体;SimSun" w:eastAsia="仿宋_GB2312"/>
          <w:color w:val="auto"/>
          <w:kern w:val="0"/>
          <w:sz w:val="32"/>
          <w:szCs w:val="32"/>
          <w:lang w:val="zh-CN" w:eastAsia="zh-CN" w:bidi="ar-SA"/>
        </w:rPr>
        <w:t>万元，增长（下降）</w:t>
      </w:r>
      <w:r>
        <w:rPr>
          <w:rFonts w:eastAsia="仿宋_GB2312" w:cs="宋体;SimSun" w:ascii="仿宋_GB2312" w:hAnsi="仿宋_GB2312"/>
          <w:color w:val="auto"/>
          <w:kern w:val="0"/>
          <w:sz w:val="32"/>
          <w:szCs w:val="32"/>
          <w:lang w:val="zh-CN" w:eastAsia="zh-CN" w:bidi="ar-SA"/>
        </w:rPr>
        <w:t>100%</w:t>
      </w:r>
      <w:r>
        <w:rPr>
          <w:rFonts w:ascii="仿宋_GB2312" w:hAnsi="仿宋_GB2312" w:cs="宋体;SimSun" w:eastAsia="仿宋_GB2312"/>
          <w:color w:val="auto"/>
          <w:kern w:val="0"/>
          <w:sz w:val="32"/>
          <w:szCs w:val="32"/>
          <w:lang w:val="zh-CN" w:eastAsia="zh-CN" w:bidi="ar-SA"/>
        </w:rPr>
        <w:t>。主要原因是为本年度新增单位。</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五、一般公共预算财政拨款支出决算情况说明</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（一）总体情况。</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年度一般公共预算财政拨款支出</w:t>
      </w:r>
      <w:r>
        <w:rPr>
          <w:rFonts w:eastAsia="仿宋_GB2312" w:cs="宋体;SimSun" w:ascii="仿宋_GB2312" w:hAnsi="仿宋_GB2312"/>
          <w:color w:val="auto"/>
          <w:kern w:val="0"/>
          <w:sz w:val="32"/>
          <w:szCs w:val="32"/>
          <w:lang w:val="zh-CN" w:eastAsia="zh-CN" w:bidi="ar-SA"/>
        </w:rPr>
        <w:t>3,842.56</w:t>
      </w:r>
      <w:r>
        <w:rPr>
          <w:rFonts w:ascii="仿宋_GB2312" w:hAnsi="仿宋_GB2312" w:cs="宋体;SimSun" w:eastAsia="仿宋_GB2312"/>
          <w:color w:val="auto"/>
          <w:kern w:val="0"/>
          <w:sz w:val="32"/>
          <w:szCs w:val="32"/>
          <w:lang w:val="zh-CN" w:eastAsia="zh-CN" w:bidi="ar-SA"/>
        </w:rPr>
        <w:t>万元，占支出合计的</w:t>
      </w:r>
      <w:r>
        <w:rPr>
          <w:rFonts w:eastAsia="仿宋_GB2312" w:cs="宋体;SimSun" w:ascii="仿宋_GB2312" w:hAnsi="仿宋_GB2312"/>
          <w:color w:val="auto"/>
          <w:kern w:val="0"/>
          <w:sz w:val="32"/>
          <w:szCs w:val="32"/>
          <w:lang w:val="zh-CN" w:eastAsia="zh-CN" w:bidi="ar-SA"/>
        </w:rPr>
        <w:t>65.26%</w:t>
      </w:r>
      <w:r>
        <w:rPr>
          <w:rFonts w:ascii="仿宋_GB2312" w:hAnsi="仿宋_GB2312" w:cs="宋体;SimSun" w:eastAsia="仿宋_GB2312"/>
          <w:color w:val="auto"/>
          <w:kern w:val="0"/>
          <w:sz w:val="32"/>
          <w:szCs w:val="32"/>
          <w:lang w:val="zh-CN" w:eastAsia="zh-CN" w:bidi="ar-SA"/>
        </w:rPr>
        <w:t>。与上年度相比，一般公共预算财政拨款支出增加</w:t>
      </w:r>
      <w:r>
        <w:rPr>
          <w:rFonts w:eastAsia="仿宋_GB2312" w:cs="宋体;SimSun" w:ascii="仿宋_GB2312" w:hAnsi="仿宋_GB2312"/>
          <w:color w:val="auto"/>
          <w:kern w:val="0"/>
          <w:sz w:val="32"/>
          <w:szCs w:val="32"/>
          <w:lang w:val="zh-CN" w:eastAsia="zh-CN" w:bidi="ar-SA"/>
        </w:rPr>
        <w:t>3,842.56</w:t>
      </w:r>
      <w:r>
        <w:rPr>
          <w:rFonts w:ascii="仿宋_GB2312" w:hAnsi="仿宋_GB2312" w:cs="宋体;SimSun" w:eastAsia="仿宋_GB2312"/>
          <w:color w:val="auto"/>
          <w:kern w:val="0"/>
          <w:sz w:val="32"/>
          <w:szCs w:val="32"/>
          <w:lang w:val="zh-CN" w:eastAsia="zh-CN" w:bidi="ar-SA"/>
        </w:rPr>
        <w:t>万元，增长</w:t>
      </w:r>
      <w:r>
        <w:rPr>
          <w:rFonts w:eastAsia="仿宋_GB2312" w:cs="宋体;SimSun" w:ascii="仿宋_GB2312" w:hAnsi="仿宋_GB2312"/>
          <w:color w:val="auto"/>
          <w:kern w:val="0"/>
          <w:sz w:val="32"/>
          <w:szCs w:val="32"/>
          <w:lang w:val="en-US" w:eastAsia="zh-CN" w:bidi="ar-SA"/>
        </w:rPr>
        <w:t>10</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。主要原因是为本年度新增单位。</w:t>
      </w:r>
    </w:p>
    <w:p>
      <w:pPr>
        <w:pStyle w:val="1"/>
        <w:spacing w:beforeLines="0" w:beforeAutospacing="0" w:afterLines="0" w:afterAutospacing="0"/>
        <w:jc w:val="left"/>
        <w:rPr>
          <w:color w:val="auto"/>
        </w:rPr>
      </w:pPr>
      <w:r>
        <w:rPr>
          <w:rFonts w:ascii="楷体_GB2312;楷体" w:hAnsi="楷体_GB2312;楷体" w:cs="楷体_GB2312;楷体" w:eastAsia="楷体_GB2312;楷体"/>
          <w:b/>
          <w:bCs/>
          <w:color w:val="auto"/>
          <w:kern w:val="2"/>
          <w:sz w:val="32"/>
          <w:szCs w:val="32"/>
          <w:lang w:val="en-US" w:eastAsia="zh-CN" w:bidi="ar-SA"/>
        </w:rPr>
        <w:t>（二）结构情况。</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年度一般公共预算财政拨款支出</w:t>
      </w:r>
      <w:r>
        <w:rPr>
          <w:rFonts w:eastAsia="仿宋_GB2312" w:cs="宋体;SimSun" w:ascii="仿宋_GB2312" w:hAnsi="仿宋_GB2312"/>
          <w:color w:val="auto"/>
          <w:kern w:val="0"/>
          <w:sz w:val="32"/>
          <w:szCs w:val="32"/>
          <w:lang w:val="zh-CN" w:eastAsia="zh-CN" w:bidi="ar-SA"/>
        </w:rPr>
        <w:t>3,842.56</w:t>
      </w:r>
      <w:r>
        <w:rPr>
          <w:rFonts w:ascii="仿宋_GB2312" w:hAnsi="仿宋_GB2312" w:cs="宋体;SimSun" w:eastAsia="仿宋_GB2312"/>
          <w:color w:val="auto"/>
          <w:kern w:val="0"/>
          <w:sz w:val="32"/>
          <w:szCs w:val="32"/>
          <w:lang w:val="zh-CN" w:eastAsia="zh-CN" w:bidi="ar-SA"/>
        </w:rPr>
        <w:t>万元，主要用于以下方面：一般公共服务（类）支出</w:t>
      </w:r>
      <w:r>
        <w:rPr>
          <w:rFonts w:eastAsia="仿宋_GB2312" w:cs="宋体;SimSun" w:ascii="仿宋_GB2312" w:hAnsi="仿宋_GB2312"/>
          <w:color w:val="auto"/>
          <w:kern w:val="0"/>
          <w:sz w:val="32"/>
          <w:szCs w:val="32"/>
          <w:lang w:val="zh-CN" w:eastAsia="zh-CN" w:bidi="ar-SA"/>
        </w:rPr>
        <w:t>3842.56</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100%</w:t>
      </w:r>
      <w:r>
        <w:rPr>
          <w:rFonts w:ascii="仿宋_GB2312" w:hAnsi="仿宋_GB2312" w:cs="宋体;SimSun" w:eastAsia="仿宋_GB2312"/>
          <w:color w:val="auto"/>
          <w:kern w:val="0"/>
          <w:sz w:val="32"/>
          <w:szCs w:val="32"/>
          <w:lang w:val="zh-CN" w:eastAsia="zh-CN" w:bidi="ar-SA"/>
        </w:rPr>
        <w:t>；外交（类）支出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（三）具体情况。</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年度一般公共预算财政拨款支出年初预算为</w:t>
      </w:r>
      <w:r>
        <w:rPr>
          <w:rFonts w:eastAsia="仿宋_GB2312" w:cs="宋体;SimSun" w:ascii="仿宋_GB2312" w:hAnsi="仿宋_GB2312"/>
          <w:color w:val="auto"/>
          <w:kern w:val="0"/>
          <w:sz w:val="32"/>
          <w:szCs w:val="32"/>
          <w:lang w:val="zh-CN" w:eastAsia="zh-CN" w:bidi="ar-SA"/>
        </w:rPr>
        <w:t>3,595.53</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3,842.56</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106.87%</w:t>
      </w:r>
      <w:r>
        <w:rPr>
          <w:rFonts w:ascii="仿宋_GB2312" w:hAnsi="仿宋_GB2312" w:cs="宋体;SimSun" w:eastAsia="仿宋_GB2312"/>
          <w:color w:val="auto"/>
          <w:kern w:val="0"/>
          <w:sz w:val="32"/>
          <w:szCs w:val="32"/>
          <w:lang w:val="zh-CN" w:eastAsia="zh-CN" w:bidi="ar-SA"/>
        </w:rPr>
        <w:t>。其中：</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1</w:t>
      </w:r>
      <w:r>
        <w:rPr>
          <w:rFonts w:ascii="仿宋_GB2312" w:hAnsi="仿宋_GB2312" w:cs="宋体;SimSun" w:eastAsia="仿宋_GB2312"/>
          <w:color w:val="auto"/>
          <w:kern w:val="0"/>
          <w:sz w:val="32"/>
          <w:szCs w:val="32"/>
          <w:lang w:val="zh-CN" w:eastAsia="zh-CN" w:bidi="ar-SA"/>
        </w:rPr>
        <w:t>．卫生健康支出 公共卫生 突发公共卫生事件应急处理。年初预算为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color w:val="auto"/>
          <w:kern w:val="0"/>
          <w:sz w:val="32"/>
          <w:szCs w:val="32"/>
          <w:lang w:val="zh-CN" w:eastAsia="zh-CN" w:bidi="ar-SA"/>
        </w:rPr>
        <w:t>万元，决算数与年初预算数存在差异的主要原因应对突发疫情，追加本级预算。</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w:t>
      </w:r>
      <w:r>
        <w:rPr>
          <w:rFonts w:ascii="仿宋_GB2312" w:hAnsi="仿宋_GB2312" w:cs="宋体;SimSun" w:eastAsia="仿宋_GB2312"/>
          <w:color w:val="auto"/>
          <w:kern w:val="0"/>
          <w:sz w:val="32"/>
          <w:szCs w:val="32"/>
          <w:lang w:val="zh-CN" w:eastAsia="zh-CN" w:bidi="ar-SA"/>
        </w:rPr>
        <w:t>、卫生健康支出 行政事业单位医疗 行政单位医疗年初预算为</w:t>
      </w:r>
      <w:r>
        <w:rPr>
          <w:rFonts w:eastAsia="仿宋_GB2312" w:cs="宋体;SimSun" w:ascii="仿宋_GB2312" w:hAnsi="仿宋_GB2312"/>
          <w:color w:val="auto"/>
          <w:kern w:val="0"/>
          <w:sz w:val="32"/>
          <w:szCs w:val="32"/>
          <w:lang w:val="zh-CN" w:eastAsia="zh-CN" w:bidi="ar-SA"/>
        </w:rPr>
        <w:t>1.1</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1.79</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162.7%</w:t>
      </w:r>
      <w:r>
        <w:rPr>
          <w:rFonts w:ascii="仿宋_GB2312" w:hAnsi="仿宋_GB2312" w:cs="宋体;SimSun" w:eastAsia="仿宋_GB2312"/>
          <w:color w:val="auto"/>
          <w:kern w:val="0"/>
          <w:sz w:val="32"/>
          <w:szCs w:val="32"/>
          <w:lang w:val="zh-CN" w:eastAsia="zh-CN" w:bidi="ar-SA"/>
        </w:rPr>
        <w:t>。决算数与年初预算数存在差异的主要原因是公务员医疗年初未预算。</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3</w:t>
      </w:r>
      <w:r>
        <w:rPr>
          <w:rFonts w:ascii="仿宋_GB2312" w:hAnsi="仿宋_GB2312" w:cs="宋体;SimSun" w:eastAsia="仿宋_GB2312"/>
          <w:color w:val="auto"/>
          <w:kern w:val="0"/>
          <w:sz w:val="32"/>
          <w:szCs w:val="32"/>
          <w:lang w:val="zh-CN" w:eastAsia="zh-CN" w:bidi="ar-SA"/>
        </w:rPr>
        <w:t>、节能环保支出 污染防治 其他污染防治支出年初预算为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16</w:t>
      </w:r>
      <w:r>
        <w:rPr>
          <w:rFonts w:ascii="仿宋_GB2312" w:hAnsi="仿宋_GB2312" w:cs="宋体;SimSun" w:eastAsia="仿宋_GB2312"/>
          <w:color w:val="auto"/>
          <w:kern w:val="0"/>
          <w:sz w:val="32"/>
          <w:szCs w:val="32"/>
          <w:lang w:val="zh-CN" w:eastAsia="zh-CN" w:bidi="ar-SA"/>
        </w:rPr>
        <w:t>万元，决算数与年初预算数存在差异的主要原因上级拨付专项资金。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4</w:t>
      </w:r>
      <w:r>
        <w:rPr>
          <w:rFonts w:ascii="仿宋_GB2312" w:hAnsi="仿宋_GB2312" w:cs="宋体;SimSun" w:eastAsia="仿宋_GB2312"/>
          <w:color w:val="auto"/>
          <w:kern w:val="0"/>
          <w:sz w:val="32"/>
          <w:szCs w:val="32"/>
          <w:lang w:val="zh-CN" w:eastAsia="zh-CN" w:bidi="ar-SA"/>
        </w:rPr>
        <w:t>、农林水支出 农业农村 行政运行年初预算为</w:t>
      </w:r>
      <w:r>
        <w:rPr>
          <w:rFonts w:eastAsia="仿宋_GB2312" w:cs="宋体;SimSun" w:ascii="仿宋_GB2312" w:hAnsi="仿宋_GB2312"/>
          <w:color w:val="auto"/>
          <w:kern w:val="0"/>
          <w:sz w:val="32"/>
          <w:szCs w:val="32"/>
          <w:lang w:val="zh-CN" w:eastAsia="zh-CN" w:bidi="ar-SA"/>
        </w:rPr>
        <w:t>33.75</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29.76</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88.18%</w:t>
      </w:r>
      <w:r>
        <w:rPr>
          <w:rFonts w:ascii="仿宋_GB2312" w:hAnsi="仿宋_GB2312" w:cs="宋体;SimSun" w:eastAsia="仿宋_GB2312"/>
          <w:color w:val="auto"/>
          <w:kern w:val="0"/>
          <w:sz w:val="32"/>
          <w:szCs w:val="32"/>
          <w:lang w:val="zh-CN" w:eastAsia="zh-CN" w:bidi="ar-SA"/>
        </w:rPr>
        <w:t>。决算数与年初预算数存在差异的主要原因项目支出压缩。</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5</w:t>
      </w:r>
      <w:r>
        <w:rPr>
          <w:rFonts w:ascii="仿宋_GB2312" w:hAnsi="仿宋_GB2312" w:cs="宋体;SimSun" w:eastAsia="仿宋_GB2312"/>
          <w:color w:val="auto"/>
          <w:kern w:val="0"/>
          <w:sz w:val="32"/>
          <w:szCs w:val="32"/>
          <w:lang w:val="zh-CN" w:eastAsia="zh-CN" w:bidi="ar-SA"/>
        </w:rPr>
        <w:t>、农林水支出 农业农村 一般行政管理事务年初预算为</w:t>
      </w:r>
      <w:r>
        <w:rPr>
          <w:rFonts w:eastAsia="仿宋_GB2312" w:cs="宋体;SimSun" w:ascii="仿宋_GB2312" w:hAnsi="仿宋_GB2312"/>
          <w:color w:val="auto"/>
          <w:kern w:val="0"/>
          <w:sz w:val="32"/>
          <w:szCs w:val="32"/>
          <w:lang w:val="zh-CN" w:eastAsia="zh-CN" w:bidi="ar-SA"/>
        </w:rPr>
        <w:t>2.37</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0.6</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25.32%</w:t>
      </w:r>
      <w:r>
        <w:rPr>
          <w:rFonts w:ascii="仿宋_GB2312" w:hAnsi="仿宋_GB2312" w:cs="宋体;SimSun" w:eastAsia="仿宋_GB2312"/>
          <w:color w:val="auto"/>
          <w:kern w:val="0"/>
          <w:sz w:val="32"/>
          <w:szCs w:val="32"/>
          <w:lang w:val="zh-CN" w:eastAsia="zh-CN" w:bidi="ar-SA"/>
        </w:rPr>
        <w:t>。决算数与年初预算数存在差异的主要原因是预算项目未全部实施。</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6</w:t>
      </w:r>
      <w:r>
        <w:rPr>
          <w:rFonts w:ascii="仿宋_GB2312" w:hAnsi="仿宋_GB2312" w:cs="宋体;SimSun" w:eastAsia="仿宋_GB2312"/>
          <w:color w:val="auto"/>
          <w:kern w:val="0"/>
          <w:sz w:val="32"/>
          <w:szCs w:val="32"/>
          <w:lang w:val="zh-CN" w:eastAsia="zh-CN" w:bidi="ar-SA"/>
        </w:rPr>
        <w:t>、农林水支出 农业农村 病虫害控制年初预算为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52</w:t>
      </w:r>
      <w:r>
        <w:rPr>
          <w:rFonts w:ascii="仿宋_GB2312" w:hAnsi="仿宋_GB2312" w:cs="宋体;SimSun" w:eastAsia="仿宋_GB2312"/>
          <w:color w:val="auto"/>
          <w:kern w:val="0"/>
          <w:sz w:val="32"/>
          <w:szCs w:val="32"/>
          <w:lang w:val="zh-CN" w:eastAsia="zh-CN" w:bidi="ar-SA"/>
        </w:rPr>
        <w:t>万元。决算数与年初预算数存在差异的主要上级拨付专项资金。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7</w:t>
      </w:r>
      <w:r>
        <w:rPr>
          <w:rFonts w:ascii="仿宋_GB2312" w:hAnsi="仿宋_GB2312" w:cs="宋体;SimSun" w:eastAsia="仿宋_GB2312"/>
          <w:color w:val="auto"/>
          <w:kern w:val="0"/>
          <w:sz w:val="32"/>
          <w:szCs w:val="32"/>
          <w:lang w:val="zh-CN" w:eastAsia="zh-CN" w:bidi="ar-SA"/>
        </w:rPr>
        <w:t>、农林水支出 农业农村 防灾救灾年初预算为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color w:val="auto"/>
          <w:kern w:val="0"/>
          <w:sz w:val="32"/>
          <w:szCs w:val="32"/>
          <w:lang w:val="zh-CN" w:eastAsia="zh-CN" w:bidi="ar-SA"/>
        </w:rPr>
        <w:t>万元，决算数与年初预算数存在差异的主要原因是上级拨付专项资金。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en-US"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8</w:t>
      </w:r>
      <w:r>
        <w:rPr>
          <w:rFonts w:ascii="仿宋_GB2312" w:hAnsi="仿宋_GB2312" w:cs="宋体;SimSun" w:eastAsia="仿宋_GB2312"/>
          <w:color w:val="auto"/>
          <w:kern w:val="0"/>
          <w:sz w:val="32"/>
          <w:szCs w:val="32"/>
          <w:lang w:val="zh-CN" w:eastAsia="zh-CN" w:bidi="ar-SA"/>
        </w:rPr>
        <w:t>、农林水支出 农业农村 农业生产发展年初预算为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1781.53</w:t>
      </w:r>
      <w:r>
        <w:rPr>
          <w:rFonts w:ascii="仿宋_GB2312" w:hAnsi="仿宋_GB2312" w:cs="宋体;SimSun" w:eastAsia="仿宋_GB2312"/>
          <w:color w:val="auto"/>
          <w:kern w:val="0"/>
          <w:sz w:val="32"/>
          <w:szCs w:val="32"/>
          <w:lang w:val="zh-CN" w:eastAsia="zh-CN" w:bidi="ar-SA"/>
        </w:rPr>
        <w:t>万元。决算数与年初预算数存在差异的主要原因上级拨付专项资金。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9</w:t>
      </w:r>
      <w:r>
        <w:rPr>
          <w:rFonts w:ascii="仿宋_GB2312" w:hAnsi="仿宋_GB2312" w:cs="宋体;SimSun" w:eastAsia="仿宋_GB2312"/>
          <w:color w:val="auto"/>
          <w:kern w:val="0"/>
          <w:sz w:val="32"/>
          <w:szCs w:val="32"/>
          <w:lang w:val="zh-CN" w:eastAsia="zh-CN" w:bidi="ar-SA"/>
        </w:rPr>
        <w:t>．农林水支出 农业农村 农田建设年初预算为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1773.4</w:t>
      </w:r>
      <w:r>
        <w:rPr>
          <w:rFonts w:ascii="仿宋_GB2312" w:hAnsi="仿宋_GB2312" w:cs="宋体;SimSun" w:eastAsia="仿宋_GB2312"/>
          <w:color w:val="auto"/>
          <w:kern w:val="0"/>
          <w:sz w:val="32"/>
          <w:szCs w:val="32"/>
          <w:lang w:val="zh-CN" w:eastAsia="zh-CN" w:bidi="ar-SA"/>
        </w:rPr>
        <w:t>万元，决算数与年初预算数存在差异的主要原因是上级拨付专项资金。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color w:val="auto"/>
          <w:kern w:val="0"/>
          <w:sz w:val="32"/>
          <w:szCs w:val="32"/>
          <w:lang w:val="zh-CN" w:eastAsia="zh-CN" w:bidi="ar-SA"/>
        </w:rPr>
        <w:t>、农林水支出 农业农村 其他农业农村支出年初预算为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158.44</w:t>
      </w:r>
      <w:r>
        <w:rPr>
          <w:rFonts w:ascii="仿宋_GB2312" w:hAnsi="仿宋_GB2312" w:cs="宋体;SimSun" w:eastAsia="仿宋_GB2312"/>
          <w:color w:val="auto"/>
          <w:kern w:val="0"/>
          <w:sz w:val="32"/>
          <w:szCs w:val="32"/>
          <w:lang w:val="zh-CN" w:eastAsia="zh-CN" w:bidi="ar-SA"/>
        </w:rPr>
        <w:t>万元，决算数与年初预算数存在差异的主要原因是上级拨付专项资金。</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11</w:t>
      </w:r>
      <w:r>
        <w:rPr>
          <w:rFonts w:ascii="仿宋_GB2312" w:hAnsi="仿宋_GB2312" w:cs="宋体;SimSun" w:eastAsia="仿宋_GB2312"/>
          <w:color w:val="auto"/>
          <w:kern w:val="0"/>
          <w:sz w:val="32"/>
          <w:szCs w:val="32"/>
          <w:lang w:val="zh-CN" w:eastAsia="zh-CN" w:bidi="ar-SA"/>
        </w:rPr>
        <w:t>、农林水支出 普慧金融发展支出 农业保险保费补贴年初预算为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6.14</w:t>
      </w:r>
      <w:r>
        <w:rPr>
          <w:rFonts w:ascii="仿宋_GB2312" w:hAnsi="仿宋_GB2312" w:cs="宋体;SimSun" w:eastAsia="仿宋_GB2312"/>
          <w:color w:val="auto"/>
          <w:kern w:val="0"/>
          <w:sz w:val="32"/>
          <w:szCs w:val="32"/>
          <w:lang w:val="zh-CN" w:eastAsia="zh-CN" w:bidi="ar-SA"/>
        </w:rPr>
        <w:t>万元，决算数与年初预算数存在差异的主要原因本级项目增加。</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12</w:t>
      </w:r>
      <w:r>
        <w:rPr>
          <w:rFonts w:ascii="仿宋_GB2312" w:hAnsi="仿宋_GB2312" w:cs="宋体;SimSun" w:eastAsia="仿宋_GB2312"/>
          <w:color w:val="auto"/>
          <w:kern w:val="0"/>
          <w:sz w:val="32"/>
          <w:szCs w:val="32"/>
          <w:lang w:val="zh-CN" w:eastAsia="zh-CN" w:bidi="ar-SA"/>
        </w:rPr>
        <w:t>、住房保障支出 住房改革支出 住房公积金年初预算为</w:t>
      </w:r>
      <w:r>
        <w:rPr>
          <w:rFonts w:eastAsia="仿宋_GB2312" w:cs="宋体;SimSun" w:ascii="仿宋_GB2312" w:hAnsi="仿宋_GB2312"/>
          <w:color w:val="auto"/>
          <w:kern w:val="0"/>
          <w:sz w:val="32"/>
          <w:szCs w:val="32"/>
          <w:lang w:val="zh-CN" w:eastAsia="zh-CN" w:bidi="ar-SA"/>
        </w:rPr>
        <w:t>3.38</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2.91</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86.09%</w:t>
      </w:r>
      <w:r>
        <w:rPr>
          <w:rFonts w:ascii="仿宋_GB2312" w:hAnsi="仿宋_GB2312" w:cs="宋体;SimSun" w:eastAsia="仿宋_GB2312"/>
          <w:color w:val="auto"/>
          <w:kern w:val="0"/>
          <w:sz w:val="32"/>
          <w:szCs w:val="32"/>
          <w:lang w:val="zh-CN" w:eastAsia="zh-CN" w:bidi="ar-SA"/>
        </w:rPr>
        <w:t>。决算数与年初预算数存在差异的主要原因是住房公积金未交到年底。</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六、一般公共预算财政拨款基本支出决算情况说明</w:t>
      </w:r>
    </w:p>
    <w:p>
      <w:pPr>
        <w:pStyle w:val="1"/>
        <w:spacing w:beforeLines="0" w:beforeAutospacing="0" w:afterLines="0" w:afterAutospacing="0"/>
        <w:jc w:val="left"/>
        <w:rPr>
          <w:color w:val="auto"/>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年度一般公共预算财政拨款基本支出</w:t>
      </w:r>
      <w:r>
        <w:rPr>
          <w:rFonts w:eastAsia="仿宋_GB2312" w:cs="宋体;SimSun" w:ascii="仿宋_GB2312" w:hAnsi="仿宋_GB2312"/>
          <w:color w:val="auto"/>
          <w:kern w:val="0"/>
          <w:sz w:val="32"/>
          <w:szCs w:val="32"/>
          <w:lang w:val="zh-CN" w:eastAsia="zh-CN" w:bidi="ar-SA"/>
        </w:rPr>
        <w:t>34.45</w:t>
      </w:r>
      <w:r>
        <w:rPr>
          <w:rFonts w:ascii="仿宋_GB2312" w:hAnsi="仿宋_GB2312" w:cs="宋体;SimSun" w:eastAsia="仿宋_GB2312"/>
          <w:color w:val="auto"/>
          <w:kern w:val="0"/>
          <w:sz w:val="32"/>
          <w:szCs w:val="32"/>
          <w:lang w:val="zh-CN" w:eastAsia="zh-CN" w:bidi="ar-SA"/>
        </w:rPr>
        <w:t>万元。其中：人员经费</w:t>
      </w:r>
      <w:r>
        <w:rPr>
          <w:rFonts w:eastAsia="仿宋_GB2312" w:cs="宋体;SimSun" w:ascii="仿宋_GB2312" w:hAnsi="仿宋_GB2312"/>
          <w:color w:val="auto"/>
          <w:kern w:val="0"/>
          <w:sz w:val="32"/>
          <w:szCs w:val="32"/>
          <w:lang w:val="zh-CN" w:eastAsia="zh-CN" w:bidi="ar-SA"/>
        </w:rPr>
        <w:t>33.58</w:t>
      </w:r>
      <w:r>
        <w:rPr>
          <w:rFonts w:ascii="仿宋_GB2312" w:hAnsi="仿宋_GB2312" w:cs="宋体;SimSun" w:eastAsia="仿宋_GB2312"/>
          <w:color w:val="auto"/>
          <w:kern w:val="0"/>
          <w:sz w:val="32"/>
          <w:szCs w:val="32"/>
          <w:lang w:val="zh-CN" w:eastAsia="zh-CN" w:bidi="ar-SA"/>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eastAsia="仿宋_GB2312" w:cs="宋体;SimSun" w:ascii="仿宋_GB2312" w:hAnsi="仿宋_GB2312"/>
          <w:color w:val="auto"/>
          <w:kern w:val="0"/>
          <w:sz w:val="32"/>
          <w:szCs w:val="32"/>
          <w:lang w:val="zh-CN" w:eastAsia="zh-CN" w:bidi="ar-SA"/>
        </w:rPr>
        <w:t>0.87</w:t>
      </w:r>
      <w:r>
        <w:rPr>
          <w:rFonts w:ascii="仿宋_GB2312" w:hAnsi="仿宋_GB2312" w:cs="宋体;SimSun" w:eastAsia="仿宋_GB2312"/>
          <w:color w:val="auto"/>
          <w:kern w:val="0"/>
          <w:sz w:val="32"/>
          <w:szCs w:val="32"/>
          <w:lang w:val="zh-CN" w:eastAsia="zh-CN" w:bidi="ar-SA"/>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七、一般公共预算财政拨款“三公”经费支出决算情况说明</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（一）“三公”经费财政拨款支出决算总体情况说明。</w:t>
      </w:r>
    </w:p>
    <w:p>
      <w:pPr>
        <w:pStyle w:val="1"/>
        <w:spacing w:beforeLines="0" w:beforeAutospacing="0" w:afterLines="0" w:afterAutospacing="0"/>
        <w:ind w:firstLineChars="200" w:firstLine="0"/>
        <w:jc w:val="left"/>
        <w:rPr>
          <w:rFonts w:ascii="仿宋_GB2312" w:hAnsi="仿宋_GB2312" w:eastAsia="仿宋_GB2312" w:cs="宋体;SimSun"/>
          <w:color w:val="auto"/>
          <w:kern w:val="0"/>
          <w:sz w:val="32"/>
          <w:szCs w:val="32"/>
          <w:lang w:val="zh-CN" w:eastAsia="zh-CN" w:bidi="ar-SA"/>
        </w:rPr>
      </w:pP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年度“三公”经费财政拨款支出预算为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（二）“三公”经费财政拨款支出决算具体情况说明。</w:t>
      </w:r>
    </w:p>
    <w:p>
      <w:pPr>
        <w:pStyle w:val="1"/>
        <w:spacing w:beforeLines="0" w:beforeAutospacing="0" w:afterLines="0" w:afterAutospacing="0"/>
        <w:ind w:firstLineChars="200" w:firstLine="0"/>
        <w:jc w:val="left"/>
        <w:rPr>
          <w:rFonts w:ascii="仿宋_GB2312" w:hAnsi="仿宋_GB2312" w:eastAsia="仿宋_GB2312" w:cs="宋体;SimSun"/>
          <w:color w:val="auto"/>
          <w:kern w:val="0"/>
          <w:sz w:val="32"/>
          <w:szCs w:val="32"/>
          <w:lang w:val="zh-CN" w:eastAsia="zh-CN" w:bidi="ar-SA"/>
        </w:rPr>
      </w:pP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年度“三公”经费财政拨款支出决算中，因公出国（境）费支出决算</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；公务用车购置及运行费支出决算</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；公务接待费支出决算</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，占</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；具体情况如下：</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1</w:t>
      </w:r>
      <w:r>
        <w:rPr>
          <w:rFonts w:ascii="仿宋_GB2312" w:hAnsi="仿宋_GB2312" w:cs="宋体;SimSun" w:eastAsia="仿宋_GB2312"/>
          <w:color w:val="auto"/>
          <w:kern w:val="0"/>
          <w:sz w:val="32"/>
          <w:szCs w:val="32"/>
          <w:lang w:val="zh-CN" w:eastAsia="zh-CN" w:bidi="ar-SA"/>
        </w:rPr>
        <w:t>．因公出国（境）费年初预算为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w:t>
      </w:r>
      <w:r>
        <w:rPr>
          <w:rFonts w:ascii="仿宋_GB2312" w:hAnsi="仿宋_GB2312" w:cs="宋体;SimSun" w:eastAsia="仿宋_GB2312"/>
          <w:color w:val="auto"/>
          <w:kern w:val="0"/>
          <w:sz w:val="32"/>
          <w:szCs w:val="32"/>
          <w:lang w:val="zh-CN" w:eastAsia="zh-CN" w:bidi="ar-SA"/>
        </w:rPr>
        <w:t>．公务用车购置及运行费年初预算为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ascii="仿宋_GB2312" w:hAnsi="仿宋_GB2312" w:cs="宋体;SimSun" w:eastAsia="仿宋_GB2312"/>
          <w:color w:val="auto"/>
          <w:kern w:val="0"/>
          <w:sz w:val="32"/>
          <w:szCs w:val="32"/>
          <w:lang w:val="zh-CN" w:eastAsia="zh-CN" w:bidi="ar-SA"/>
        </w:rPr>
        <w:t>公务用车购置支出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万元，购置车辆</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台，其中</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ascii="仿宋_GB2312" w:hAnsi="仿宋_GB2312" w:cs="宋体;SimSun" w:eastAsia="仿宋_GB2312"/>
          <w:color w:val="auto"/>
          <w:kern w:val="0"/>
          <w:sz w:val="32"/>
          <w:szCs w:val="32"/>
          <w:lang w:val="zh-CN" w:eastAsia="zh-CN" w:bidi="ar-SA"/>
        </w:rPr>
        <w:t>公务用车运行支出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年期末，单位开支财政拨款的公务用车保有量为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量。</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3.</w:t>
      </w:r>
      <w:r>
        <w:rPr>
          <w:rFonts w:ascii="仿宋_GB2312" w:hAnsi="仿宋_GB2312" w:cs="宋体;SimSun" w:eastAsia="仿宋_GB2312"/>
          <w:color w:val="auto"/>
          <w:kern w:val="0"/>
          <w:sz w:val="32"/>
          <w:szCs w:val="32"/>
          <w:lang w:val="zh-CN" w:eastAsia="zh-CN" w:bidi="ar-SA"/>
        </w:rPr>
        <w:t>公务接待费年初预算为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外宾接待支出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年共接待国（境）外来访团组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个、来访外宾</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人次（不包括陪同人员）。</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其他国内公务接待支出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万元。</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年共接待国内来访团组</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个、来宾</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人次（不包括陪同人员）。</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八、预算绩效情况说明</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（一）绩效管理工作开展情况。</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无。</w:t>
      </w:r>
    </w:p>
    <w:p>
      <w:pPr>
        <w:pStyle w:val="1"/>
        <w:spacing w:beforeLines="0" w:beforeAutospacing="0" w:afterLines="0" w:afterAutospacing="0"/>
        <w:jc w:val="left"/>
        <w:rPr>
          <w:color w:val="auto"/>
        </w:rPr>
      </w:pPr>
      <w:r>
        <w:rPr>
          <w:rFonts w:ascii="楷体_GB2312;楷体" w:hAnsi="楷体_GB2312;楷体" w:cs="楷体_GB2312;楷体" w:eastAsia="楷体_GB2312;楷体"/>
          <w:b/>
          <w:bCs/>
          <w:color w:val="auto"/>
          <w:kern w:val="2"/>
          <w:sz w:val="32"/>
          <w:szCs w:val="32"/>
          <w:lang w:val="en-US" w:eastAsia="zh-CN" w:bidi="ar-SA"/>
        </w:rPr>
        <w:t>（二）项目绩效自评结果</w:t>
      </w:r>
      <w:r>
        <w:rPr>
          <w:rFonts w:ascii="宋体" w:hAnsi="宋体"/>
          <w:color w:val="auto"/>
          <w:sz w:val="18"/>
          <w:lang w:val="zh-CN"/>
        </w:rPr>
        <w:t>。</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无。</w:t>
      </w:r>
    </w:p>
    <w:p>
      <w:pPr>
        <w:pStyle w:val="1"/>
        <w:spacing w:beforeLines="0" w:beforeAutospacing="0" w:afterLines="0" w:afterAutospacing="0"/>
        <w:jc w:val="left"/>
        <w:rPr>
          <w:rFonts w:ascii="楷体_GB2312;楷体" w:hAnsi="楷体_GB2312;楷体" w:eastAsia="楷体_GB2312;楷体" w:cs="楷体_GB2312;楷体"/>
          <w:b/>
          <w:b/>
          <w:bCs/>
          <w:color w:val="auto"/>
          <w:kern w:val="2"/>
          <w:sz w:val="32"/>
          <w:szCs w:val="32"/>
          <w:lang w:val="en-US" w:eastAsia="zh-CN" w:bidi="ar-SA"/>
        </w:rPr>
      </w:pPr>
      <w:r>
        <w:rPr>
          <w:rFonts w:ascii="楷体_GB2312;楷体" w:hAnsi="楷体_GB2312;楷体" w:cs="楷体_GB2312;楷体" w:eastAsia="楷体_GB2312;楷体"/>
          <w:b/>
          <w:bCs/>
          <w:color w:val="auto"/>
          <w:kern w:val="2"/>
          <w:sz w:val="32"/>
          <w:szCs w:val="32"/>
          <w:lang w:val="en-US" w:eastAsia="zh-CN" w:bidi="ar-SA"/>
        </w:rPr>
        <w:t>（三）以单位为主体开展的重点绩效评价结果。</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无。</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eastAsia="zh-CN" w:bidi="ar-SA"/>
        </w:rPr>
      </w:pPr>
      <w:r>
        <w:rPr>
          <w:rFonts w:ascii="黑体;SimHei" w:hAnsi="黑体;SimHei" w:cs="宋体;SimSun" w:eastAsia="黑体;SimHei"/>
          <w:color w:val="auto"/>
          <w:kern w:val="0"/>
          <w:sz w:val="32"/>
          <w:szCs w:val="32"/>
          <w:lang w:val="zh-CN" w:eastAsia="zh-CN" w:bidi="ar-SA"/>
        </w:rPr>
        <w:t>九、政府性基金预算财政拨款支出决算情况说明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年度政府性基金预算财政拨款支出年初预算为</w:t>
      </w:r>
      <w:r>
        <w:rPr>
          <w:rFonts w:eastAsia="仿宋_GB2312" w:cs="宋体;SimSun" w:ascii="仿宋_GB2312" w:hAnsi="仿宋_GB2312"/>
          <w:color w:val="auto"/>
          <w:kern w:val="0"/>
          <w:sz w:val="32"/>
          <w:szCs w:val="32"/>
          <w:lang w:val="zh-CN" w:eastAsia="zh-CN" w:bidi="ar-SA"/>
        </w:rPr>
        <w:t>2,045.22</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20,452,200</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zh-CN" w:eastAsia="zh-CN" w:bidi="ar-SA"/>
        </w:rPr>
        <w:t>100%</w:t>
      </w:r>
      <w:r>
        <w:rPr>
          <w:rFonts w:ascii="仿宋_GB2312" w:hAnsi="仿宋_GB2312" w:cs="宋体;SimSun" w:eastAsia="仿宋_GB2312"/>
          <w:color w:val="auto"/>
          <w:kern w:val="0"/>
          <w:sz w:val="32"/>
          <w:szCs w:val="32"/>
          <w:lang w:val="zh-CN" w:eastAsia="zh-CN" w:bidi="ar-SA"/>
        </w:rPr>
        <w:t>。主要用于移民人口直补发放。</w:t>
      </w:r>
    </w:p>
    <w:p>
      <w:pPr>
        <w:pStyle w:val="1"/>
        <w:numPr>
          <w:ilvl w:val="0"/>
          <w:numId w:val="0"/>
        </w:numPr>
        <w:ind/>
        <w:jc w:val="left"/>
        <w:rPr>
          <w:rFonts w:ascii="黑体;SimHei" w:hAnsi="黑体;SimHei" w:eastAsia="黑体;SimHei" w:cs="宋体;SimSun"/>
          <w:color w:val="auto"/>
          <w:kern w:val="0"/>
          <w:sz w:val="32"/>
          <w:szCs w:val="32"/>
          <w:lang w:val="zh-CN" w:eastAsia="zh-CN" w:bidi="ar-SA"/>
        </w:rPr>
      </w:pPr>
      <w:r>
        <w:rPr>
          <w:rFonts w:ascii="黑体;SimHei" w:hAnsi="黑体;SimHei" w:cs="宋体;SimSun" w:eastAsia="黑体;SimHei"/>
          <w:color w:val="auto"/>
          <w:kern w:val="0"/>
          <w:sz w:val="32"/>
          <w:szCs w:val="32"/>
          <w:lang w:val="zh-CN" w:eastAsia="zh-CN" w:bidi="ar-SA"/>
        </w:rPr>
        <w:t>十、机关运行经费支出情况说明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年度机关运行经费初预算为</w:t>
      </w:r>
      <w:r>
        <w:rPr>
          <w:rFonts w:eastAsia="仿宋_GB2312" w:cs="宋体;SimSun" w:ascii="仿宋_GB2312" w:hAnsi="仿宋_GB2312"/>
          <w:color w:val="auto"/>
          <w:kern w:val="0"/>
          <w:sz w:val="32"/>
          <w:szCs w:val="32"/>
          <w:lang w:val="en-US" w:eastAsia="zh-CN" w:bidi="ar-SA"/>
        </w:rPr>
        <w:t>3.41</w:t>
      </w:r>
      <w:r>
        <w:rPr>
          <w:rFonts w:ascii="仿宋_GB2312" w:hAnsi="仿宋_GB2312" w:cs="宋体;SimSun" w:eastAsia="仿宋_GB2312"/>
          <w:color w:val="auto"/>
          <w:kern w:val="0"/>
          <w:sz w:val="32"/>
          <w:szCs w:val="32"/>
          <w:lang w:val="zh-CN" w:eastAsia="zh-CN" w:bidi="ar-SA"/>
        </w:rPr>
        <w:t>万元，支出决算为</w:t>
      </w:r>
      <w:r>
        <w:rPr>
          <w:rFonts w:eastAsia="仿宋_GB2312" w:cs="宋体;SimSun" w:ascii="仿宋_GB2312" w:hAnsi="仿宋_GB2312"/>
          <w:color w:val="auto"/>
          <w:kern w:val="0"/>
          <w:sz w:val="32"/>
          <w:szCs w:val="32"/>
          <w:lang w:val="zh-CN" w:eastAsia="zh-CN" w:bidi="ar-SA"/>
        </w:rPr>
        <w:t>0.87</w:t>
      </w:r>
      <w:r>
        <w:rPr>
          <w:rFonts w:ascii="仿宋_GB2312" w:hAnsi="仿宋_GB2312" w:cs="宋体;SimSun" w:eastAsia="仿宋_GB2312"/>
          <w:color w:val="auto"/>
          <w:kern w:val="0"/>
          <w:sz w:val="32"/>
          <w:szCs w:val="32"/>
          <w:lang w:val="zh-CN" w:eastAsia="zh-CN" w:bidi="ar-SA"/>
        </w:rPr>
        <w:t>万元，完成年初预算的</w:t>
      </w:r>
      <w:r>
        <w:rPr>
          <w:rFonts w:eastAsia="仿宋_GB2312" w:cs="宋体;SimSun" w:ascii="仿宋_GB2312" w:hAnsi="仿宋_GB2312"/>
          <w:color w:val="auto"/>
          <w:kern w:val="0"/>
          <w:sz w:val="32"/>
          <w:szCs w:val="32"/>
          <w:lang w:val="en-US" w:eastAsia="zh-CN" w:bidi="ar-SA"/>
        </w:rPr>
        <w:t>25.51</w:t>
      </w:r>
      <w:r>
        <w:rPr>
          <w:rFonts w:eastAsia="仿宋_GB2312" w:cs="宋体;SimSun" w:ascii="仿宋_GB2312" w:hAnsi="仿宋_GB2312"/>
          <w:color w:val="auto"/>
          <w:kern w:val="0"/>
          <w:sz w:val="32"/>
          <w:szCs w:val="32"/>
          <w:lang w:val="zh-CN" w:eastAsia="zh-CN" w:bidi="ar-SA"/>
        </w:rPr>
        <w:t>%</w:t>
      </w:r>
      <w:r>
        <w:rPr>
          <w:rFonts w:ascii="仿宋_GB2312" w:hAnsi="仿宋_GB2312" w:cs="宋体;SimSun" w:eastAsia="仿宋_GB2312"/>
          <w:color w:val="auto"/>
          <w:kern w:val="0"/>
          <w:sz w:val="32"/>
          <w:szCs w:val="32"/>
          <w:lang w:val="zh-CN" w:eastAsia="zh-CN" w:bidi="ar-SA"/>
        </w:rPr>
        <w:t>。决算数与年初预算数存在差异的主要原因是压缩开支。</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十一、政府采购支出情况说明</w:t>
      </w:r>
    </w:p>
    <w:p>
      <w:pPr>
        <w:pStyle w:val="1"/>
        <w:spacing w:beforeLines="0" w:beforeAutospacing="0" w:afterLines="0" w:afterAutospacing="0"/>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年度政府采购支出总额</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万元，其中：政府采购货物支出</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en-US" w:eastAsia="zh-CN" w:bidi="ar-SA"/>
        </w:rPr>
        <w:t>万</w:t>
      </w:r>
      <w:r>
        <w:rPr>
          <w:rFonts w:ascii="仿宋_GB2312" w:hAnsi="仿宋_GB2312" w:cs="宋体;SimSun" w:eastAsia="仿宋_GB2312"/>
          <w:color w:val="auto"/>
          <w:kern w:val="0"/>
          <w:sz w:val="32"/>
          <w:szCs w:val="32"/>
          <w:lang w:val="zh-CN" w:eastAsia="zh-CN" w:bidi="ar-SA"/>
        </w:rPr>
        <w:t>元、政府采购工程支出</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万元、政府采购服务支出</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万元。授予中小企业合同金额</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万元，占政府采购支出总额的</w:t>
      </w:r>
      <w:r>
        <w:rPr>
          <w:rFonts w:eastAsia="仿宋_GB2312" w:cs="宋体;SimSun" w:ascii="仿宋_GB2312" w:hAnsi="仿宋_GB2312"/>
          <w:color w:val="auto"/>
          <w:kern w:val="0"/>
          <w:sz w:val="32"/>
          <w:szCs w:val="32"/>
          <w:lang w:val="en-US" w:eastAsia="zh-CN" w:bidi="ar-SA"/>
        </w:rPr>
        <w:t>0</w:t>
      </w:r>
      <w:r>
        <w:rPr>
          <w:rFonts w:eastAsia="仿宋_GB2312" w:cs="宋体;SimSun" w:ascii="仿宋_GB2312" w:hAnsi="仿宋_GB2312"/>
          <w:color w:val="auto"/>
          <w:kern w:val="0"/>
          <w:sz w:val="32"/>
          <w:szCs w:val="32"/>
          <w:lang w:val="zh-CN" w:eastAsia="zh-CN" w:bidi="ar-SA"/>
        </w:rPr>
        <w:t>%</w:t>
      </w:r>
      <w:r>
        <w:rPr>
          <w:rFonts w:ascii="仿宋_GB2312" w:hAnsi="仿宋_GB2312" w:cs="宋体;SimSun" w:eastAsia="仿宋_GB2312"/>
          <w:color w:val="auto"/>
          <w:kern w:val="0"/>
          <w:sz w:val="32"/>
          <w:szCs w:val="32"/>
          <w:lang w:val="zh-CN" w:eastAsia="zh-CN" w:bidi="ar-SA"/>
        </w:rPr>
        <w:t>，其中：授予小微企业合同金额</w:t>
      </w:r>
      <w:r>
        <w:rPr>
          <w:rFonts w:eastAsia="仿宋_GB2312" w:cs="宋体;SimSun" w:ascii="仿宋_GB2312" w:hAnsi="仿宋_GB2312"/>
          <w:color w:val="auto"/>
          <w:kern w:val="0"/>
          <w:sz w:val="32"/>
          <w:szCs w:val="32"/>
          <w:lang w:val="en-US" w:eastAsia="zh-CN" w:bidi="ar-SA"/>
        </w:rPr>
        <w:t>0</w:t>
      </w:r>
      <w:r>
        <w:rPr>
          <w:rFonts w:ascii="仿宋_GB2312" w:hAnsi="仿宋_GB2312" w:cs="宋体;SimSun" w:eastAsia="仿宋_GB2312"/>
          <w:color w:val="auto"/>
          <w:kern w:val="0"/>
          <w:sz w:val="32"/>
          <w:szCs w:val="32"/>
          <w:lang w:val="zh-CN" w:eastAsia="zh-CN" w:bidi="ar-SA"/>
        </w:rPr>
        <w:t>万元，占政府采购支出总额的</w:t>
      </w:r>
      <w:r>
        <w:rPr>
          <w:rFonts w:eastAsia="仿宋_GB2312" w:cs="宋体;SimSun" w:ascii="仿宋_GB2312" w:hAnsi="仿宋_GB2312"/>
          <w:color w:val="auto"/>
          <w:kern w:val="0"/>
          <w:sz w:val="32"/>
          <w:szCs w:val="32"/>
          <w:lang w:val="en-US" w:eastAsia="zh-CN" w:bidi="ar-SA"/>
        </w:rPr>
        <w:t>0</w:t>
      </w:r>
      <w:r>
        <w:rPr>
          <w:rFonts w:eastAsia="仿宋_GB2312" w:cs="宋体;SimSun" w:ascii="仿宋_GB2312" w:hAnsi="仿宋_GB2312"/>
          <w:color w:val="auto"/>
          <w:kern w:val="0"/>
          <w:sz w:val="32"/>
          <w:szCs w:val="32"/>
          <w:lang w:val="zh-CN" w:eastAsia="zh-CN" w:bidi="ar-SA"/>
        </w:rPr>
        <w:t>%</w:t>
      </w:r>
      <w:r>
        <w:rPr>
          <w:rFonts w:ascii="仿宋_GB2312" w:hAnsi="仿宋_GB2312" w:cs="宋体;SimSun" w:eastAsia="仿宋_GB2312"/>
          <w:color w:val="auto"/>
          <w:kern w:val="0"/>
          <w:sz w:val="32"/>
          <w:szCs w:val="32"/>
          <w:lang w:val="zh-CN" w:eastAsia="zh-CN" w:bidi="ar-SA"/>
        </w:rPr>
        <w:t>。</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rPr>
      </w:pPr>
      <w:r>
        <w:rPr>
          <w:rFonts w:ascii="黑体;SimHei" w:hAnsi="黑体;SimHei" w:cs="宋体;SimSun" w:eastAsia="黑体;SimHei"/>
          <w:color w:val="auto"/>
          <w:kern w:val="0"/>
          <w:sz w:val="32"/>
          <w:szCs w:val="32"/>
          <w:lang w:val="zh-CN"/>
        </w:rPr>
        <w:t>十二、国有资产占用情况说明</w:t>
      </w:r>
    </w:p>
    <w:p>
      <w:pPr>
        <w:pStyle w:val="1"/>
        <w:numPr>
          <w:ilvl w:val="0"/>
          <w:numId w:val="0"/>
        </w:numPr>
        <w:autoSpaceDE w:val="0"/>
        <w:spacing w:lineRule="exact" w:line="590" w:beforeLines="0" w:beforeAutospacing="0" w:afterLines="0" w:afterAutospacing="0"/>
        <w:ind/>
        <w:jc w:val="left"/>
        <w:rPr>
          <w:rFonts w:ascii="仿宋_GB2312" w:hAnsi="仿宋_GB2312" w:eastAsia="仿宋_GB2312" w:cs="宋体;SimSun"/>
          <w:color w:val="auto"/>
          <w:kern w:val="0"/>
          <w:sz w:val="32"/>
          <w:szCs w:val="32"/>
          <w:lang w:val="zh-CN" w:eastAsia="zh-CN" w:bidi="ar-SA"/>
        </w:rPr>
      </w:pPr>
      <w:r>
        <w:rPr>
          <w:rFonts w:ascii="仿宋_GB2312" w:hAnsi="仿宋_GB2312" w:cs="宋体;SimSun" w:eastAsia="仿宋_GB2312"/>
          <w:color w:val="auto"/>
          <w:kern w:val="0"/>
          <w:sz w:val="32"/>
          <w:szCs w:val="32"/>
          <w:lang w:val="zh-CN" w:eastAsia="zh-CN" w:bidi="ar-SA"/>
        </w:rPr>
        <w:t xml:space="preserve">    </w:t>
      </w:r>
      <w:r>
        <w:rPr>
          <w:rFonts w:eastAsia="仿宋_GB2312" w:cs="宋体;SimSun" w:ascii="仿宋_GB2312" w:hAnsi="仿宋_GB2312"/>
          <w:color w:val="auto"/>
          <w:kern w:val="0"/>
          <w:sz w:val="32"/>
          <w:szCs w:val="32"/>
          <w:lang w:val="zh-CN" w:eastAsia="zh-CN" w:bidi="ar-SA"/>
        </w:rPr>
        <w:t>2020</w:t>
      </w:r>
      <w:r>
        <w:rPr>
          <w:rFonts w:ascii="仿宋_GB2312" w:hAnsi="仿宋_GB2312" w:cs="宋体;SimSun" w:eastAsia="仿宋_GB2312"/>
          <w:color w:val="auto"/>
          <w:kern w:val="0"/>
          <w:sz w:val="32"/>
          <w:szCs w:val="32"/>
          <w:lang w:val="zh-CN" w:eastAsia="zh-CN" w:bidi="ar-SA"/>
        </w:rPr>
        <w:t>年期末，我单位共有车辆</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辆，其中：省级领导干部用车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辆、主要领导干部用车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辆、机要通信用车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辆、应急保障车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辆、执法执勤用车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辆、特种专业技术用车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辆、离退休干部用车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辆、其他用车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辆；单位价值</w:t>
      </w:r>
      <w:r>
        <w:rPr>
          <w:rFonts w:eastAsia="仿宋_GB2312" w:cs="宋体;SimSun" w:ascii="仿宋_GB2312" w:hAnsi="仿宋_GB2312"/>
          <w:color w:val="auto"/>
          <w:kern w:val="0"/>
          <w:sz w:val="32"/>
          <w:szCs w:val="32"/>
          <w:lang w:val="zh-CN" w:eastAsia="zh-CN" w:bidi="ar-SA"/>
        </w:rPr>
        <w:t>50</w:t>
      </w:r>
      <w:r>
        <w:rPr>
          <w:rFonts w:ascii="仿宋_GB2312" w:hAnsi="仿宋_GB2312" w:cs="宋体;SimSun" w:eastAsia="仿宋_GB2312"/>
          <w:color w:val="auto"/>
          <w:kern w:val="0"/>
          <w:sz w:val="32"/>
          <w:szCs w:val="32"/>
          <w:lang w:val="zh-CN" w:eastAsia="zh-CN" w:bidi="ar-SA"/>
        </w:rPr>
        <w:t>万元以上通用设备</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台（套），单位价值</w:t>
      </w:r>
      <w:r>
        <w:rPr>
          <w:rFonts w:eastAsia="仿宋_GB2312" w:cs="宋体;SimSun" w:ascii="仿宋_GB2312" w:hAnsi="仿宋_GB2312"/>
          <w:color w:val="auto"/>
          <w:kern w:val="0"/>
          <w:sz w:val="32"/>
          <w:szCs w:val="32"/>
          <w:lang w:val="zh-CN" w:eastAsia="zh-CN" w:bidi="ar-SA"/>
        </w:rPr>
        <w:t>100</w:t>
      </w:r>
      <w:r>
        <w:rPr>
          <w:rFonts w:ascii="仿宋_GB2312" w:hAnsi="仿宋_GB2312" w:cs="宋体;SimSun" w:eastAsia="仿宋_GB2312"/>
          <w:color w:val="auto"/>
          <w:kern w:val="0"/>
          <w:sz w:val="32"/>
          <w:szCs w:val="32"/>
          <w:lang w:val="zh-CN" w:eastAsia="zh-CN" w:bidi="ar-SA"/>
        </w:rPr>
        <w:t>万元以上专用设备</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eastAsia="zh-CN" w:bidi="ar-SA"/>
        </w:rPr>
        <w:t>台（套）。</w:t>
      </w:r>
    </w:p>
    <w:p>
      <w:pPr>
        <w:pStyle w:val="1"/>
        <w:autoSpaceDE w:val="0"/>
        <w:spacing w:lineRule="exact" w:line="590"/>
        <w:jc w:val="left"/>
        <w:rPr>
          <w:rFonts w:ascii="仿宋_GB2312" w:hAnsi="仿宋_GB2312" w:eastAsia="仿宋_GB2312" w:cs="宋体;SimSun"/>
          <w:color w:val="auto"/>
          <w:kern w:val="0"/>
          <w:sz w:val="32"/>
          <w:szCs w:val="32"/>
          <w:lang w:val="zh-CN"/>
        </w:rPr>
      </w:pPr>
      <w:r>
        <w:rPr>
          <w:rFonts w:eastAsia="仿宋_GB2312" w:cs="宋体;SimSun" w:ascii="仿宋_GB2312" w:hAnsi="仿宋_GB2312"/>
          <w:color w:val="auto"/>
          <w:kern w:val="0"/>
          <w:sz w:val="32"/>
          <w:szCs w:val="32"/>
          <w:lang w:val="zh-CN"/>
        </w:rPr>
      </w:r>
      <w:r>
        <w:br w:type="page"/>
      </w:r>
    </w:p>
    <w:p>
      <w:pPr>
        <w:pStyle w:val="1"/>
        <w:widowControl/>
        <w:jc w:val="left"/>
        <w:rPr>
          <w:rFonts w:ascii="黑体;SimHei" w:hAnsi="黑体;SimHei" w:eastAsia="黑体;SimHei" w:cs="宋体;SimSun"/>
          <w:color w:val="auto"/>
          <w:kern w:val="0"/>
          <w:sz w:val="28"/>
          <w:szCs w:val="28"/>
          <w:lang w:val="zh-CN"/>
        </w:rPr>
      </w:pPr>
      <w:r>
        <w:rPr>
          <w:rFonts w:eastAsia="黑体;SimHei" w:cs="宋体;SimSun" w:ascii="黑体;SimHei" w:hAnsi="黑体;SimHei"/>
          <w:color w:val="auto"/>
          <w:kern w:val="0"/>
          <w:sz w:val="28"/>
          <w:szCs w:val="28"/>
          <w:lang w:val="zh-CN"/>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pStyle w:val="1"/>
        <w:widowControl/>
        <w:jc w:val="left"/>
        <w:rPr>
          <w:rFonts w:ascii="黑体;SimHei" w:hAnsi="黑体;SimHei" w:eastAsia="黑体;SimHei" w:cs="宋体;SimSun"/>
          <w:color w:val="auto"/>
          <w:kern w:val="0"/>
          <w:sz w:val="28"/>
          <w:szCs w:val="28"/>
        </w:rPr>
      </w:pPr>
      <w:r>
        <w:rPr>
          <w:rFonts w:eastAsia="黑体;SimHei" w:cs="宋体;SimSun" w:ascii="黑体;SimHei" w:hAnsi="黑体;SimHei"/>
          <w:color w:val="auto"/>
          <w:kern w:val="0"/>
          <w:sz w:val="28"/>
          <w:szCs w:val="28"/>
        </w:rPr>
      </w:r>
    </w:p>
    <w:p>
      <w:pPr>
        <w:sectPr>
          <w:headerReference w:type="default" r:id="rId6"/>
          <w:footerReference w:type="default" r:id="rId7"/>
          <w:type w:val="nextPage"/>
          <w:pgSz w:w="11906" w:h="16838"/>
          <w:pgMar w:left="1587" w:right="1531" w:header="850" w:top="1440" w:footer="992" w:bottom="1440" w:gutter="0"/>
          <w:pgNumType w:fmt="decimal"/>
          <w:formProt w:val="false"/>
          <w:textDirection w:val="lrTb"/>
          <w:docGrid w:type="lines" w:linePitch="317" w:charSpace="232652"/>
        </w:sectPr>
        <w:pStyle w:val="1"/>
        <w:numPr>
          <w:ilvl w:val="0"/>
          <w:numId w:val="0"/>
        </w:numPr>
        <w:ind/>
        <w:jc w:val="center"/>
        <w:outlineLvl w:val="0"/>
        <w:rPr>
          <w:color w:val="auto"/>
        </w:rPr>
      </w:pPr>
      <w:r>
        <w:rPr>
          <w:rFonts w:ascii="黑体;SimHei" w:hAnsi="黑体;SimHei" w:cs="黑体;SimHei" w:eastAsia="黑体;SimHei"/>
          <w:color w:val="auto"/>
          <w:sz w:val="48"/>
          <w:szCs w:val="48"/>
        </w:rPr>
        <w:t>第三部分  名词解释</w:t>
      </w:r>
    </w:p>
    <w:p>
      <w:pPr>
        <w:pStyle w:val="1"/>
        <w:widowControl/>
        <w:spacing w:lineRule="exact" w:line="590"/>
        <w:jc w:val="left"/>
        <w:rPr>
          <w:color w:val="auto"/>
        </w:rPr>
      </w:pPr>
      <w:r>
        <w:rPr>
          <w:rFonts w:ascii="仿宋_GB2312" w:hAnsi="仿宋_GB2312" w:cs="仿宋_GB2312" w:eastAsia="仿宋_GB2312"/>
          <w:color w:val="auto"/>
          <w:sz w:val="32"/>
          <w:szCs w:val="32"/>
        </w:rPr>
        <w:t>一、财政拨款收入：单位从同级政府财政部门取得的财政预算资金。</w:t>
      </w:r>
    </w:p>
    <w:p>
      <w:pPr>
        <w:pStyle w:val="1"/>
        <w:widowControl/>
        <w:spacing w:lineRule="exact" w:line="590"/>
        <w:jc w:val="left"/>
        <w:rPr>
          <w:color w:val="auto"/>
        </w:rPr>
      </w:pPr>
      <w:r>
        <w:rPr>
          <w:rFonts w:ascii="仿宋_GB2312" w:hAnsi="仿宋_GB2312" w:cs="仿宋_GB2312" w:eastAsia="仿宋_GB2312"/>
          <w:color w:val="auto"/>
          <w:sz w:val="32"/>
          <w:szCs w:val="32"/>
        </w:rPr>
        <w:t>二、事业收入：事业单位开展专业业务活动及其辅助活动取得的收入。</w:t>
      </w:r>
    </w:p>
    <w:p>
      <w:pPr>
        <w:pStyle w:val="1"/>
        <w:widowControl/>
        <w:spacing w:lineRule="exact" w:line="590"/>
        <w:jc w:val="left"/>
        <w:rPr>
          <w:color w:val="auto"/>
        </w:rPr>
      </w:pPr>
      <w:r>
        <w:rPr>
          <w:rFonts w:ascii="仿宋_GB2312" w:hAnsi="仿宋_GB2312" w:cs="仿宋_GB2312" w:eastAsia="仿宋_GB2312"/>
          <w:color w:val="auto"/>
          <w:sz w:val="32"/>
          <w:szCs w:val="32"/>
        </w:rPr>
        <w:t>三、上级补助收入：事业单位从主管部门和上级单位取得的非财政补助收入。</w:t>
      </w:r>
    </w:p>
    <w:p>
      <w:pPr>
        <w:pStyle w:val="1"/>
        <w:widowControl/>
        <w:spacing w:lineRule="exact" w:line="590"/>
        <w:jc w:val="left"/>
        <w:rPr>
          <w:color w:val="auto"/>
        </w:rPr>
      </w:pPr>
      <w:r>
        <w:rPr>
          <w:rFonts w:ascii="仿宋_GB2312" w:hAnsi="仿宋_GB2312" w:cs="仿宋_GB2312" w:eastAsia="仿宋_GB2312"/>
          <w:color w:val="auto"/>
          <w:sz w:val="32"/>
          <w:szCs w:val="32"/>
        </w:rPr>
        <w:t>四、附属单位上缴收入：事业单位取得附属独立核算单位根据有关规定上缴的收入。</w:t>
      </w:r>
    </w:p>
    <w:p>
      <w:pPr>
        <w:pStyle w:val="1"/>
        <w:widowControl/>
        <w:spacing w:lineRule="exact" w:line="590"/>
        <w:jc w:val="left"/>
        <w:rPr>
          <w:color w:val="auto"/>
        </w:rPr>
      </w:pPr>
      <w:r>
        <w:rPr>
          <w:rFonts w:ascii="仿宋_GB2312" w:hAnsi="仿宋_GB2312" w:cs="仿宋_GB2312" w:eastAsia="仿宋_GB2312"/>
          <w:color w:val="auto"/>
          <w:sz w:val="32"/>
          <w:szCs w:val="32"/>
        </w:rPr>
        <w:t>五、经营收入：事业单位在专业业务活动及其辅助活动之外开展非独立核算经营活动取得的收入。</w:t>
      </w:r>
    </w:p>
    <w:p>
      <w:pPr>
        <w:pStyle w:val="1"/>
        <w:widowControl/>
        <w:spacing w:lineRule="exact" w:line="590"/>
        <w:jc w:val="left"/>
        <w:rPr>
          <w:color w:val="auto"/>
        </w:rPr>
      </w:pPr>
      <w:r>
        <w:rPr>
          <w:rFonts w:ascii="仿宋_GB2312" w:hAnsi="仿宋_GB2312" w:cs="仿宋_GB2312" w:eastAsia="仿宋_GB2312"/>
          <w:color w:val="auto"/>
          <w:sz w:val="32"/>
          <w:szCs w:val="32"/>
        </w:rPr>
        <w:t>六、其他收入：单位取得的除“财政拨款收入”、“事业收入”、“上级补助收入”、“附属单位上缴收入”、“经营收入”以外的各项收入。</w:t>
      </w:r>
    </w:p>
    <w:p>
      <w:pPr>
        <w:pStyle w:val="1"/>
        <w:widowControl/>
        <w:spacing w:lineRule="exact" w:line="590"/>
        <w:jc w:val="left"/>
        <w:rPr>
          <w:color w:val="auto"/>
        </w:rPr>
      </w:pPr>
      <w:r>
        <w:rPr>
          <w:rFonts w:ascii="仿宋_GB2312" w:hAnsi="仿宋_GB2312" w:cs="仿宋_GB2312" w:eastAsia="仿宋_GB2312"/>
          <w:color w:val="auto"/>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1"/>
        <w:widowControl/>
        <w:spacing w:lineRule="exact" w:line="590"/>
        <w:jc w:val="left"/>
        <w:rPr>
          <w:color w:val="auto"/>
        </w:rPr>
      </w:pPr>
      <w:r>
        <w:rPr>
          <w:rFonts w:ascii="仿宋_GB2312" w:hAnsi="仿宋_GB2312" w:cs="仿宋_GB2312" w:eastAsia="仿宋_GB2312"/>
          <w:color w:val="auto"/>
          <w:sz w:val="32"/>
          <w:szCs w:val="32"/>
        </w:rPr>
        <w:t>八、基本支出：为保障机构正常运转、完成日常工作任务而发生的人员支出和公用支出。</w:t>
      </w:r>
    </w:p>
    <w:p>
      <w:pPr>
        <w:pStyle w:val="1"/>
        <w:widowControl/>
        <w:spacing w:lineRule="exact" w:line="590"/>
        <w:jc w:val="left"/>
        <w:rPr>
          <w:color w:val="auto"/>
        </w:rPr>
      </w:pPr>
      <w:r>
        <w:rPr>
          <w:rFonts w:ascii="仿宋_GB2312" w:hAnsi="仿宋_GB2312" w:cs="仿宋_GB2312" w:eastAsia="仿宋_GB2312"/>
          <w:color w:val="auto"/>
          <w:sz w:val="32"/>
          <w:szCs w:val="32"/>
        </w:rPr>
        <w:t>九、项目支出：基本支出之外为完成特定行政任务和事业发展目标所发生的支出。</w:t>
      </w:r>
    </w:p>
    <w:p>
      <w:pPr>
        <w:pStyle w:val="1"/>
        <w:widowControl/>
        <w:spacing w:lineRule="exact" w:line="590"/>
        <w:jc w:val="left"/>
        <w:rPr>
          <w:color w:val="auto"/>
        </w:rPr>
      </w:pPr>
      <w:r>
        <w:rPr>
          <w:rFonts w:ascii="仿宋_GB2312" w:hAnsi="仿宋_GB2312" w:cs="仿宋_GB2312" w:eastAsia="仿宋_GB2312"/>
          <w:color w:val="auto"/>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1"/>
        <w:widowControl/>
        <w:spacing w:lineRule="exact" w:line="590"/>
        <w:jc w:val="left"/>
        <w:rPr>
          <w:color w:val="auto"/>
        </w:rPr>
      </w:pPr>
      <w:r>
        <w:rPr>
          <w:rFonts w:ascii="仿宋_GB2312" w:hAnsi="仿宋_GB2312" w:cs="仿宋_GB2312" w:eastAsia="仿宋_GB2312"/>
          <w:color w:val="auto"/>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
        <w:widowControl/>
        <w:spacing w:lineRule="exact" w:line="590"/>
        <w:jc w:val="left"/>
        <w:rPr>
          <w:color w:val="auto"/>
        </w:rPr>
      </w:pPr>
      <w:r>
        <w:rPr>
          <w:rFonts w:ascii="仿宋_GB2312" w:hAnsi="仿宋_GB2312" w:cs="仿宋_GB2312" w:eastAsia="仿宋_GB2312"/>
          <w:color w:val="auto"/>
          <w:sz w:val="32"/>
          <w:szCs w:val="32"/>
        </w:rPr>
        <w:t>十二、工资福利支出：单位支付给在职职工和编制外长期聘用人员的各类劳动报酬，以及为上述人员缴纳的各项社会保险费等。</w:t>
      </w:r>
    </w:p>
    <w:p>
      <w:pPr>
        <w:pStyle w:val="1"/>
        <w:widowControl/>
        <w:spacing w:lineRule="exact" w:line="590"/>
        <w:jc w:val="left"/>
        <w:rPr>
          <w:color w:val="auto"/>
        </w:rPr>
      </w:pPr>
      <w:r>
        <w:rPr>
          <w:rFonts w:ascii="仿宋_GB2312" w:hAnsi="仿宋_GB2312" w:cs="仿宋_GB2312" w:eastAsia="仿宋_GB2312"/>
          <w:color w:val="auto"/>
          <w:sz w:val="32"/>
          <w:szCs w:val="32"/>
        </w:rPr>
        <w:t>十三、商品和服务支出：单位购买商品和服务的支出。</w:t>
      </w:r>
    </w:p>
    <w:p>
      <w:pPr>
        <w:pStyle w:val="1"/>
        <w:widowControl/>
        <w:spacing w:lineRule="exact" w:line="590"/>
        <w:jc w:val="left"/>
        <w:rPr>
          <w:color w:val="auto"/>
        </w:rPr>
      </w:pPr>
      <w:r>
        <w:rPr>
          <w:rFonts w:ascii="仿宋_GB2312" w:hAnsi="仿宋_GB2312" w:cs="仿宋_GB2312" w:eastAsia="仿宋_GB2312"/>
          <w:color w:val="auto"/>
          <w:sz w:val="32"/>
          <w:szCs w:val="32"/>
        </w:rPr>
        <w:t>十四、对个人和家庭的补助支出：单位用于对个人和家庭的补助支出。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十五、年末结转：本年度或以前年度预算安排，已执行但尚未完成或因客观条件发生变化无法按原计划实施，需延迟到以后年度按有关规定继续使用的资金。</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pStyle w:val="1"/>
        <w:autoSpaceDE w:val="0"/>
        <w:spacing w:lineRule="exact" w:line="590"/>
        <w:jc w:val="left"/>
        <w:rPr>
          <w:rFonts w:ascii="仿宋_GB2312" w:hAnsi="仿宋_GB2312" w:eastAsia="仿宋_GB2312" w:cs="Times New Roman"/>
          <w:kern w:val="0"/>
          <w:sz w:val="32"/>
          <w:szCs w:val="32"/>
          <w:lang w:val="zh-CN"/>
        </w:rPr>
      </w:pPr>
      <w:r>
        <w:rPr/>
      </w:r>
    </w:p>
    <w:sectPr>
      <w:headerReference w:type="default" r:id="rId8"/>
      <w:footerReference w:type="default" r:id="rId9"/>
      <w:type w:val="nextPage"/>
      <w:pgSz w:w="12240" w:h="15840"/>
      <w:pgMar w:left="1797" w:right="1797" w:header="720" w:top="1440" w:footer="720" w:bottom="1440" w:gutter="0"/>
      <w:pgNumType w:fmt="decimal"/>
      <w:formProt w:val="false"/>
      <w:textDirection w:val="lrTb"/>
      <w:docGrid w:type="default" w:linePitch="286" w:charSpace="2326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等线">
    <w:altName w:val="微软雅黑"/>
    <w:charset w:val="86"/>
    <w:family w:val="roman"/>
    <w:pitch w:val="variable"/>
  </w:font>
  <w:font w:name="黑体">
    <w:altName w:val="SimHei"/>
    <w:charset w:val="86"/>
    <w:family w:val="roman"/>
    <w:pitch w:val="variable"/>
  </w:font>
  <w:font w:name="宋体">
    <w:altName w:val="SimSun"/>
    <w:charset w:val="86"/>
    <w:family w:val="roman"/>
    <w:pitch w:val="variable"/>
  </w:font>
  <w:font w:name="仿宋_GB2312">
    <w:charset w:val="86"/>
    <w:family w:val="roman"/>
    <w:pitch w:val="variable"/>
  </w:font>
  <w:font w:name="楷体_GB2312">
    <w:altName w:val="楷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chineseCountingThousand"/>
      <w:suff w:val="nothing"/>
      <w:lvlText w:val="%1、"/>
      <w:lvlJc w:val="left"/>
      <w:pPr>
        <w:tabs>
          <w:tab w:val="num" w:pos="0"/>
        </w:tabs>
        <w:ind w:left="0" w:hanging="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taiwaneseCountingThousand"/>
      <w:suff w:val="space"/>
      <w:lvlText w:val="第%1部分"/>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noLeading/>
    <w:doNotExpandShiftReturn/>
    <w:balanceSingleByteDoubleByteWidth/>
    <w:ulTrailSpace/>
    <w:compatSetting w:name="compatibilityMode" w:uri="http://schemas.microsoft.com/office/word" w:val="14"/>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customStyle="1">
    <w:name w:val="正文1"/>
    <w:uiPriority w:val="0"/>
    <w:qFormat/>
    <w:pPr>
      <w:widowControl w:val="false"/>
      <w:suppressAutoHyphens w:val="false"/>
      <w:bidi w:val="0"/>
      <w:spacing w:beforeLines="0" w:beforeAutospacing="0" w:afterLines="0" w:afterAutospacing="0"/>
      <w:jc w:val="both"/>
    </w:pPr>
    <w:rPr>
      <w:rFonts w:ascii="等线;微软雅黑" w:hAnsi="等线;微软雅黑" w:eastAsia="等线;微软雅黑" w:cs="Times New Roman"/>
      <w:color w:val="auto"/>
      <w:kern w:val="2"/>
      <w:sz w:val="21"/>
      <w:szCs w:val="22"/>
      <w:lang w:val="en-US" w:eastAsia="zh-CN" w:bidi="ar-SA"/>
    </w:rPr>
  </w:style>
  <w:style w:type="paragraph" w:styleId="11" w:customStyle="1">
    <w:name w:val="页眉1"/>
    <w:basedOn w:val="1"/>
    <w:uiPriority w:val="0"/>
    <w:qFormat/>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12" w:customStyle="1">
    <w:name w:val="页脚1"/>
    <w:basedOn w:val="1"/>
    <w:uiPriority w:val="0"/>
    <w:qFormat/>
    <w:pPr>
      <w:tabs>
        <w:tab w:val="clear" w:pos="720"/>
        <w:tab w:val="center" w:pos="4153" w:leader="none"/>
        <w:tab w:val="right" w:pos="8306" w:leader="none"/>
      </w:tabs>
      <w:snapToGrid w:val="false"/>
      <w:jc w:val="left"/>
    </w:pPr>
    <w:rPr>
      <w:sz w:val="18"/>
      <w:szCs w:val="18"/>
    </w:rPr>
  </w:style>
  <w:style w:type="table" w:default="1" w:styleId="2">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LanShanOffice/1.4.1.10907$Windows_X86_64 LibreOffice_project/9c1eafdd6df65fffc15a828d5a9fd7d92823ade4</Application>
  <AppVersion>15.0000</AppVersion>
  <Pages>14</Pages>
  <Words>4268</Words>
  <Characters>4593</Characters>
  <CharactersWithSpaces>4747</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2020-09-28T09:46:00Z</dcterms:created>
  <dc:creator>Administrator</dc:creator>
  <dc:description/>
  <dc:language>zh-CN</dc:language>
  <cp:lastModifiedBy/>
  <cp:lastPrinted>2021-09-23T16:47:02Z</cp:lastPrinted>
  <dcterms:modified xsi:type="dcterms:W3CDTF">2021-09-23T16:49:40Z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B6067C2DD5954A858DA0C07CB5F2E35C</vt:lpwstr>
  </property>
  <property fmtid="{D5CDD505-2E9C-101B-9397-08002B2CF9AE}" pid="3" name="KSOProductBuildVer">
    <vt:lpwstr>2052-11.1.0.10700</vt:lpwstr>
  </property>
</Properties>
</file>