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70F" w14:textId="77777777" w:rsidR="00A147FF" w:rsidRDefault="00000000">
      <w:pPr>
        <w:pStyle w:val="a8"/>
        <w:shd w:val="clear" w:color="auto" w:fill="FFFFFF"/>
        <w:spacing w:beforeAutospacing="0" w:afterAutospacing="0" w:line="700" w:lineRule="exact"/>
        <w:ind w:firstLineChars="200" w:firstLine="880"/>
        <w:jc w:val="both"/>
        <w:rPr>
          <w:rStyle w:val="a9"/>
          <w:rFonts w:ascii="方正小标宋简体" w:eastAsia="方正小标宋简体" w:hAnsi="方正小标宋简体" w:cs="方正小标宋简体" w:hint="default"/>
          <w:b w:val="0"/>
          <w:bCs/>
          <w:color w:val="2B2B2B"/>
          <w:sz w:val="44"/>
          <w:szCs w:val="44"/>
          <w:shd w:val="clear" w:color="auto" w:fill="FFFFFF"/>
        </w:rPr>
      </w:pPr>
      <w:r>
        <w:rPr>
          <w:rStyle w:val="a9"/>
          <w:rFonts w:ascii="方正小标宋简体" w:eastAsia="方正小标宋简体" w:hAnsi="方正小标宋简体" w:cs="方正小标宋简体"/>
          <w:b w:val="0"/>
          <w:bCs/>
          <w:color w:val="2B2B2B"/>
          <w:sz w:val="44"/>
          <w:szCs w:val="44"/>
          <w:shd w:val="clear" w:color="auto" w:fill="FFFFFF"/>
        </w:rPr>
        <w:t>2022年三门峡市城乡一体化示范区</w:t>
      </w:r>
    </w:p>
    <w:p w14:paraId="3307D3E0" w14:textId="77777777" w:rsidR="00A147FF" w:rsidRDefault="00000000">
      <w:pPr>
        <w:pStyle w:val="a8"/>
        <w:shd w:val="clear" w:color="auto" w:fill="FFFFFF"/>
        <w:spacing w:beforeAutospacing="0" w:afterAutospacing="0" w:line="640" w:lineRule="exact"/>
        <w:ind w:firstLine="442"/>
        <w:jc w:val="center"/>
        <w:rPr>
          <w:rStyle w:val="a9"/>
          <w:rFonts w:ascii="方正小标宋简体" w:eastAsia="方正小标宋简体" w:hAnsi="方正小标宋简体" w:cs="方正小标宋简体" w:hint="default"/>
          <w:b w:val="0"/>
          <w:bCs/>
          <w:color w:val="2B2B2B"/>
          <w:sz w:val="44"/>
          <w:szCs w:val="44"/>
          <w:shd w:val="clear" w:color="auto" w:fill="FFFFFF"/>
        </w:rPr>
      </w:pPr>
      <w:r>
        <w:rPr>
          <w:rStyle w:val="a9"/>
          <w:rFonts w:ascii="方正小标宋简体" w:eastAsia="方正小标宋简体" w:hAnsi="方正小标宋简体" w:cs="方正小标宋简体"/>
          <w:b w:val="0"/>
          <w:bCs/>
          <w:color w:val="2B2B2B"/>
          <w:sz w:val="44"/>
          <w:szCs w:val="44"/>
          <w:shd w:val="clear" w:color="auto" w:fill="FFFFFF"/>
        </w:rPr>
        <w:t>科技局部门预算公开说明</w:t>
      </w:r>
    </w:p>
    <w:p w14:paraId="4E5801A8" w14:textId="77777777" w:rsidR="00A147FF" w:rsidRDefault="00A147FF">
      <w:pPr>
        <w:jc w:val="center"/>
        <w:rPr>
          <w:rFonts w:ascii="仿宋_GB2312" w:eastAsia="仿宋_GB2312" w:hAnsi="仿宋_GB2312" w:cs="仿宋_GB2312"/>
          <w:b/>
          <w:bCs/>
          <w:sz w:val="32"/>
          <w:szCs w:val="32"/>
        </w:rPr>
      </w:pPr>
    </w:p>
    <w:p w14:paraId="2144563C" w14:textId="77777777" w:rsidR="00A147FF" w:rsidRDefault="00000000">
      <w:pPr>
        <w:spacing w:line="580" w:lineRule="exact"/>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目 录</w:t>
      </w:r>
    </w:p>
    <w:p w14:paraId="55AD0B38" w14:textId="77777777" w:rsidR="00A147FF" w:rsidRDefault="00000000">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　单位概况</w:t>
      </w:r>
    </w:p>
    <w:p w14:paraId="6A9451DC" w14:textId="77777777" w:rsidR="00A147FF" w:rsidRDefault="00000000">
      <w:pPr>
        <w:numPr>
          <w:ilvl w:val="0"/>
          <w:numId w:val="1"/>
        </w:num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14:paraId="5715620D" w14:textId="77777777" w:rsidR="00A147FF" w:rsidRDefault="00000000">
      <w:pPr>
        <w:numPr>
          <w:ilvl w:val="0"/>
          <w:numId w:val="1"/>
        </w:num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部门所属预算单位构成</w:t>
      </w:r>
    </w:p>
    <w:p w14:paraId="6A5F7399" w14:textId="77777777" w:rsidR="00A147FF" w:rsidRDefault="00000000">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第二部分　2022年度部门预算情况说明</w:t>
      </w:r>
    </w:p>
    <w:p w14:paraId="6AE29D7B" w14:textId="77777777" w:rsidR="00A147FF" w:rsidRDefault="00000000">
      <w:pPr>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第三部分　名词解释</w:t>
      </w:r>
    </w:p>
    <w:p w14:paraId="12C05CEA" w14:textId="0548D2B5" w:rsidR="00A147FF"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附件：三门峡市城乡一体化示范区科技局202</w:t>
      </w:r>
      <w:r w:rsidR="00F96D81">
        <w:rPr>
          <w:rFonts w:ascii="仿宋_GB2312" w:eastAsia="仿宋_GB2312" w:hAnsi="仿宋_GB2312" w:cs="仿宋_GB2312"/>
          <w:sz w:val="32"/>
          <w:szCs w:val="32"/>
        </w:rPr>
        <w:t>2</w:t>
      </w:r>
      <w:r>
        <w:rPr>
          <w:rFonts w:ascii="仿宋_GB2312" w:eastAsia="仿宋_GB2312" w:hAnsi="仿宋_GB2312" w:cs="仿宋_GB2312" w:hint="eastAsia"/>
          <w:sz w:val="32"/>
          <w:szCs w:val="32"/>
        </w:rPr>
        <w:t>年度部门预算表</w:t>
      </w:r>
    </w:p>
    <w:p w14:paraId="78B93FC4" w14:textId="77777777" w:rsidR="00A147FF"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一、部门收支预算表</w:t>
      </w:r>
    </w:p>
    <w:p w14:paraId="75D03C55" w14:textId="77777777" w:rsidR="00A147FF"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二、部门收入预算表</w:t>
      </w:r>
    </w:p>
    <w:p w14:paraId="50A78C14" w14:textId="77777777" w:rsidR="00A147FF"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三、部门支出预算表</w:t>
      </w:r>
    </w:p>
    <w:p w14:paraId="46B5B734" w14:textId="77777777" w:rsidR="00A147FF"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四、财政拨款收支预算表</w:t>
      </w:r>
    </w:p>
    <w:p w14:paraId="44421ADC" w14:textId="77777777" w:rsidR="00A147FF" w:rsidRDefault="00000000">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五、一般公共预算支出预算表</w:t>
      </w:r>
    </w:p>
    <w:p w14:paraId="370D4303" w14:textId="77777777" w:rsidR="00A147FF" w:rsidRDefault="00000000">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六、一般公共预算基本支出表</w:t>
      </w:r>
    </w:p>
    <w:p w14:paraId="12D0A2CF" w14:textId="77777777" w:rsidR="00A147FF"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七、支出经济分类汇总表</w:t>
      </w:r>
    </w:p>
    <w:p w14:paraId="69029512" w14:textId="77777777" w:rsidR="00A147FF"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八、一般公共预算“三公”经费预算表</w:t>
      </w:r>
    </w:p>
    <w:p w14:paraId="231DC462" w14:textId="77777777" w:rsidR="00A147FF" w:rsidRDefault="00000000">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九、政府性基金支出预算表</w:t>
      </w:r>
    </w:p>
    <w:p w14:paraId="4803AC35" w14:textId="77777777" w:rsidR="00A147FF" w:rsidRDefault="00000000">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十、项目支出预算表</w:t>
      </w:r>
    </w:p>
    <w:p w14:paraId="4FF24778" w14:textId="77777777" w:rsidR="00A147FF" w:rsidRDefault="00000000">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十一、部门（单位）整体绩效目标表</w:t>
      </w:r>
    </w:p>
    <w:p w14:paraId="1CAC94BF" w14:textId="77777777" w:rsidR="00A147FF" w:rsidRDefault="00000000">
      <w:pPr>
        <w:spacing w:line="580" w:lineRule="exact"/>
        <w:ind w:firstLine="640"/>
        <w:rPr>
          <w:rStyle w:val="a9"/>
          <w:rFonts w:ascii="仿宋_GB2312" w:eastAsia="仿宋_GB2312" w:hAnsi="仿宋_GB2312" w:cs="仿宋_GB2312"/>
          <w:b w:val="0"/>
          <w:bCs/>
          <w:color w:val="2B2B2B"/>
          <w:sz w:val="44"/>
          <w:szCs w:val="44"/>
          <w:shd w:val="clear" w:color="auto" w:fill="FFFFFF"/>
        </w:rPr>
      </w:pPr>
      <w:r>
        <w:rPr>
          <w:rFonts w:ascii="仿宋_GB2312" w:eastAsia="仿宋_GB2312" w:hAnsi="仿宋_GB2312" w:cs="仿宋_GB2312" w:hint="eastAsia"/>
          <w:sz w:val="32"/>
          <w:szCs w:val="32"/>
        </w:rPr>
        <w:t>十二、部门预算项目绩效目标表</w:t>
      </w:r>
    </w:p>
    <w:p w14:paraId="23D3282C" w14:textId="77777777" w:rsidR="00A147FF" w:rsidRDefault="00A147FF">
      <w:pPr>
        <w:pStyle w:val="a8"/>
        <w:numPr>
          <w:ilvl w:val="0"/>
          <w:numId w:val="2"/>
        </w:numPr>
        <w:shd w:val="clear" w:color="auto" w:fill="FFFFFF"/>
        <w:spacing w:beforeAutospacing="0" w:afterAutospacing="0"/>
        <w:ind w:firstLine="442"/>
        <w:jc w:val="center"/>
        <w:rPr>
          <w:rFonts w:ascii="黑体" w:eastAsia="黑体" w:hAnsi="黑体" w:cs="黑体" w:hint="default"/>
          <w:sz w:val="32"/>
          <w:szCs w:val="32"/>
        </w:rPr>
      </w:pPr>
    </w:p>
    <w:p w14:paraId="76B8F014" w14:textId="77777777" w:rsidR="00A147FF" w:rsidRDefault="00000000">
      <w:pPr>
        <w:pStyle w:val="a8"/>
        <w:shd w:val="clear" w:color="auto" w:fill="FFFFFF"/>
        <w:spacing w:beforeAutospacing="0" w:afterAutospacing="0"/>
        <w:jc w:val="center"/>
        <w:rPr>
          <w:rFonts w:ascii="黑体" w:eastAsia="黑体" w:hAnsi="黑体" w:cs="黑体" w:hint="default"/>
          <w:sz w:val="32"/>
          <w:szCs w:val="32"/>
        </w:rPr>
      </w:pPr>
      <w:r>
        <w:rPr>
          <w:rFonts w:ascii="黑体" w:eastAsia="黑体" w:hAnsi="黑体" w:cs="黑体"/>
          <w:sz w:val="32"/>
          <w:szCs w:val="32"/>
        </w:rPr>
        <w:t xml:space="preserve"> 概 况</w:t>
      </w:r>
    </w:p>
    <w:p w14:paraId="2FDF3623" w14:textId="77777777" w:rsidR="00A147FF" w:rsidRDefault="00000000">
      <w:pPr>
        <w:pStyle w:val="a8"/>
        <w:shd w:val="clear" w:color="auto" w:fill="FFFFFF"/>
        <w:spacing w:beforeAutospacing="0" w:afterAutospacing="0"/>
        <w:ind w:firstLineChars="200" w:firstLine="640"/>
        <w:jc w:val="both"/>
        <w:rPr>
          <w:rFonts w:ascii="黑体" w:eastAsia="黑体" w:hAnsi="黑体" w:cs="黑体" w:hint="default"/>
          <w:sz w:val="32"/>
          <w:szCs w:val="32"/>
        </w:rPr>
      </w:pPr>
      <w:r>
        <w:rPr>
          <w:rFonts w:ascii="黑体" w:eastAsia="黑体" w:hAnsi="黑体" w:cs="黑体"/>
          <w:sz w:val="32"/>
          <w:szCs w:val="32"/>
        </w:rPr>
        <w:t>一、机构设施、职能</w:t>
      </w:r>
    </w:p>
    <w:p w14:paraId="212CB4C2" w14:textId="77777777" w:rsidR="00A147FF" w:rsidRDefault="00000000">
      <w:pPr>
        <w:pStyle w:val="ab"/>
        <w:ind w:firstLine="643"/>
        <w:rPr>
          <w:rFonts w:ascii="楷体" w:eastAsia="楷体" w:hAnsi="楷体" w:cs="楷体"/>
          <w:b/>
          <w:bCs/>
          <w:sz w:val="32"/>
          <w:szCs w:val="32"/>
        </w:rPr>
      </w:pPr>
      <w:r>
        <w:rPr>
          <w:rFonts w:ascii="楷体" w:eastAsia="楷体" w:hAnsi="楷体" w:cs="楷体" w:hint="eastAsia"/>
          <w:b/>
          <w:bCs/>
          <w:sz w:val="32"/>
          <w:szCs w:val="32"/>
        </w:rPr>
        <w:t>（一）机构设置</w:t>
      </w:r>
    </w:p>
    <w:p w14:paraId="4B1F3A5C" w14:textId="6F627308" w:rsidR="00A147FF" w:rsidRDefault="00000000">
      <w:pPr>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根据三门峡市机构编制委员会文件（三编〔2018〕2号文）规定，三门峡市城乡一体化示范区科技局为三门峡市城乡一体化示范区管委会的内设行政机构，机构规格为正科级。</w:t>
      </w:r>
      <w:r w:rsidR="00EA435C">
        <w:rPr>
          <w:rFonts w:ascii="仿宋_GB2312" w:eastAsia="仿宋_GB2312" w:hAnsi="仿宋_GB2312" w:cs="仿宋_GB2312" w:hint="eastAsia"/>
          <w:sz w:val="32"/>
          <w:szCs w:val="32"/>
        </w:rPr>
        <w:t>三门峡市城乡一体化示范区科技局在编人员1名（行政</w:t>
      </w:r>
      <w:r w:rsidR="00395FA3">
        <w:rPr>
          <w:rFonts w:ascii="仿宋_GB2312" w:eastAsia="仿宋_GB2312" w:hAnsi="仿宋_GB2312" w:cs="仿宋_GB2312" w:hint="eastAsia"/>
          <w:sz w:val="32"/>
          <w:szCs w:val="32"/>
        </w:rPr>
        <w:t>编制</w:t>
      </w:r>
      <w:r w:rsidR="00EA435C">
        <w:rPr>
          <w:rFonts w:ascii="仿宋_GB2312" w:eastAsia="仿宋_GB2312" w:hAnsi="仿宋_GB2312" w:cs="仿宋_GB2312" w:hint="eastAsia"/>
          <w:sz w:val="32"/>
          <w:szCs w:val="32"/>
        </w:rPr>
        <w:t>）。</w:t>
      </w:r>
    </w:p>
    <w:p w14:paraId="080ECAFE" w14:textId="77777777" w:rsidR="00A147FF" w:rsidRDefault="00000000">
      <w:pPr>
        <w:pStyle w:val="ab"/>
        <w:ind w:firstLine="643"/>
        <w:rPr>
          <w:rFonts w:ascii="楷体" w:eastAsia="楷体" w:hAnsi="楷体" w:cs="楷体"/>
          <w:b/>
          <w:bCs/>
          <w:sz w:val="32"/>
          <w:szCs w:val="32"/>
        </w:rPr>
      </w:pPr>
      <w:r>
        <w:rPr>
          <w:rFonts w:ascii="楷体" w:eastAsia="楷体" w:hAnsi="楷体" w:cs="楷体" w:hint="eastAsia"/>
          <w:b/>
          <w:bCs/>
          <w:sz w:val="32"/>
          <w:szCs w:val="32"/>
        </w:rPr>
        <w:t xml:space="preserve">（二）主要职责 </w:t>
      </w:r>
    </w:p>
    <w:p w14:paraId="3A8E3782" w14:textId="77777777" w:rsidR="00A147FF" w:rsidRDefault="00000000">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贯彻执行国家、省、市科技创新发展的方针、政策和法规，组织拟定高新技术产业发展的规划和政策。</w:t>
      </w:r>
    </w:p>
    <w:p w14:paraId="7CF449C5" w14:textId="77777777" w:rsidR="00A147FF" w:rsidRDefault="00000000">
      <w:pPr>
        <w:numPr>
          <w:ilvl w:val="0"/>
          <w:numId w:val="3"/>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shd w:val="clear" w:color="auto" w:fill="FFFFFF"/>
        </w:rPr>
        <w:t>负责各类创新平台的建设与管理工作。</w:t>
      </w:r>
    </w:p>
    <w:p w14:paraId="42BEF8B6" w14:textId="77777777" w:rsidR="00A147FF" w:rsidRDefault="00000000">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负责承担国家高新区创建工作。</w:t>
      </w:r>
    </w:p>
    <w:p w14:paraId="3358388F" w14:textId="77777777" w:rsidR="00A147FF" w:rsidRDefault="00000000">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负责园区双创平台的建设、管理及发展指导等工作。</w:t>
      </w:r>
    </w:p>
    <w:p w14:paraId="5A7E82A4" w14:textId="77777777" w:rsidR="00A147FF" w:rsidRDefault="00000000">
      <w:pPr>
        <w:numPr>
          <w:ilvl w:val="0"/>
          <w:numId w:val="3"/>
        </w:num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负责科技型企业的引育和发展；</w:t>
      </w:r>
      <w:r>
        <w:rPr>
          <w:rFonts w:ascii="仿宋_GB2312" w:eastAsia="仿宋_GB2312" w:hAnsi="仿宋_GB2312" w:cs="仿宋_GB2312" w:hint="eastAsia"/>
          <w:color w:val="000000" w:themeColor="text1"/>
          <w:sz w:val="32"/>
          <w:szCs w:val="32"/>
        </w:rPr>
        <w:t>科技计划项目的征集、认定、管理等工作</w:t>
      </w:r>
      <w:r>
        <w:rPr>
          <w:rFonts w:ascii="仿宋_GB2312" w:eastAsia="仿宋_GB2312" w:hAnsi="仿宋_GB2312" w:cs="仿宋_GB2312" w:hint="eastAsia"/>
          <w:color w:val="000000" w:themeColor="text1"/>
          <w:sz w:val="32"/>
          <w:szCs w:val="32"/>
          <w:shd w:val="clear" w:color="auto" w:fill="FFFFFF"/>
        </w:rPr>
        <w:t>。</w:t>
      </w:r>
    </w:p>
    <w:p w14:paraId="4266AC5D" w14:textId="77777777" w:rsidR="00A147FF" w:rsidRDefault="00000000">
      <w:pPr>
        <w:numPr>
          <w:ilvl w:val="0"/>
          <w:numId w:val="3"/>
        </w:num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负责科技型企业招商引资及配套服务等工作。</w:t>
      </w:r>
    </w:p>
    <w:p w14:paraId="77EF3D01" w14:textId="77777777" w:rsidR="00A147FF" w:rsidRDefault="00000000">
      <w:pPr>
        <w:pStyle w:val="2"/>
        <w:numPr>
          <w:ilvl w:val="0"/>
          <w:numId w:val="3"/>
        </w:numPr>
        <w:ind w:leftChars="0" w:firstLineChars="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负责定期监测分析企业经营情况，努力稳定工业经济增长，积极争取国家、省、市各级惠企政策对我区企业的扶持工作。</w:t>
      </w:r>
    </w:p>
    <w:p w14:paraId="30044BAC" w14:textId="77777777" w:rsidR="00A147FF" w:rsidRDefault="00000000">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负责高新区展厅管理及日常硬件软件维护工作。</w:t>
      </w:r>
    </w:p>
    <w:p w14:paraId="2FD7C626" w14:textId="77777777" w:rsidR="00A147FF" w:rsidRDefault="00000000">
      <w:pPr>
        <w:numPr>
          <w:ilvl w:val="0"/>
          <w:numId w:val="3"/>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承办管委会交办的其他工作。</w:t>
      </w:r>
    </w:p>
    <w:p w14:paraId="03D97048" w14:textId="77777777" w:rsidR="00A147FF" w:rsidRDefault="00000000">
      <w:pPr>
        <w:pStyle w:val="ab"/>
        <w:ind w:firstLine="643"/>
        <w:rPr>
          <w:rFonts w:ascii="楷体" w:eastAsia="楷体" w:hAnsi="楷体" w:cs="楷体"/>
          <w:b/>
          <w:bCs/>
          <w:sz w:val="32"/>
          <w:szCs w:val="32"/>
        </w:rPr>
      </w:pPr>
      <w:r>
        <w:rPr>
          <w:rFonts w:ascii="楷体" w:eastAsia="楷体" w:hAnsi="楷体" w:cs="楷体" w:hint="eastAsia"/>
          <w:b/>
          <w:bCs/>
          <w:sz w:val="32"/>
          <w:szCs w:val="32"/>
        </w:rPr>
        <w:lastRenderedPageBreak/>
        <w:t>（三）人员情况</w:t>
      </w:r>
    </w:p>
    <w:p w14:paraId="47B530C7" w14:textId="77777777" w:rsidR="00A147FF" w:rsidRDefault="00000000">
      <w:pPr>
        <w:pStyle w:val="a8"/>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2022年三门峡市城乡一体化示范区科技局现有人员3名，其中科技局在编人员1名（行政编制1名），劳务派遣人员2名。</w:t>
      </w:r>
    </w:p>
    <w:p w14:paraId="0D1D2C18" w14:textId="77777777" w:rsidR="00A147FF" w:rsidRDefault="00000000">
      <w:pPr>
        <w:pStyle w:val="a8"/>
        <w:shd w:val="clear" w:color="auto" w:fill="FFFFFF"/>
        <w:spacing w:beforeAutospacing="0" w:afterAutospacing="0"/>
        <w:ind w:firstLineChars="200" w:firstLine="640"/>
        <w:jc w:val="both"/>
        <w:rPr>
          <w:rFonts w:ascii="Times New Roman" w:eastAsia="仿宋_GB2312" w:hAnsi="Times New Roman" w:hint="default"/>
          <w:sz w:val="32"/>
          <w:szCs w:val="32"/>
        </w:rPr>
      </w:pPr>
      <w:r>
        <w:rPr>
          <w:rFonts w:ascii="仿宋_GB2312" w:eastAsia="仿宋_GB2312" w:hAnsi="仿宋_GB2312" w:cs="仿宋_GB2312"/>
          <w:sz w:val="32"/>
          <w:szCs w:val="32"/>
        </w:rPr>
        <w:t>本单位此次预算公开只有三门峡市城乡一体化示范区科技局一个单位，所公布的预算为单位全部汇总预算。</w:t>
      </w:r>
    </w:p>
    <w:p w14:paraId="33315A7A" w14:textId="77777777" w:rsidR="00A147FF" w:rsidRDefault="00000000">
      <w:pPr>
        <w:pStyle w:val="a8"/>
        <w:shd w:val="clear" w:color="auto" w:fill="FFFFFF"/>
        <w:spacing w:beforeAutospacing="0" w:afterAutospacing="0"/>
        <w:jc w:val="center"/>
        <w:rPr>
          <w:rFonts w:ascii="黑体" w:eastAsia="黑体" w:hAnsi="黑体" w:cs="黑体" w:hint="default"/>
          <w:sz w:val="32"/>
          <w:szCs w:val="32"/>
        </w:rPr>
      </w:pPr>
      <w:r>
        <w:rPr>
          <w:rFonts w:ascii="黑体" w:eastAsia="黑体" w:hAnsi="黑体" w:cs="黑体"/>
          <w:sz w:val="32"/>
          <w:szCs w:val="32"/>
        </w:rPr>
        <w:t>第二部分</w:t>
      </w:r>
    </w:p>
    <w:p w14:paraId="0768D849" w14:textId="77777777" w:rsidR="00A147FF" w:rsidRDefault="00000000">
      <w:pPr>
        <w:pStyle w:val="a8"/>
        <w:numPr>
          <w:ilvl w:val="0"/>
          <w:numId w:val="4"/>
        </w:numPr>
        <w:shd w:val="clear" w:color="auto" w:fill="FFFFFF"/>
        <w:spacing w:beforeAutospacing="0" w:afterAutospacing="0"/>
        <w:ind w:firstLine="640"/>
        <w:jc w:val="both"/>
        <w:rPr>
          <w:rFonts w:ascii="黑体" w:eastAsia="黑体" w:hAnsi="黑体" w:cs="黑体" w:hint="default"/>
          <w:sz w:val="32"/>
          <w:szCs w:val="32"/>
        </w:rPr>
      </w:pPr>
      <w:r>
        <w:rPr>
          <w:rFonts w:ascii="黑体" w:eastAsia="黑体" w:hAnsi="黑体" w:cs="黑体"/>
          <w:sz w:val="32"/>
          <w:szCs w:val="32"/>
        </w:rPr>
        <w:t>收入支出预算总体情况说明</w:t>
      </w:r>
    </w:p>
    <w:p w14:paraId="5C3E1374" w14:textId="77777777" w:rsidR="00A147FF" w:rsidRDefault="00000000">
      <w:pPr>
        <w:pStyle w:val="a8"/>
        <w:shd w:val="clear" w:color="auto" w:fill="FFFFFF"/>
        <w:spacing w:beforeAutospacing="0" w:afterAutospacing="0"/>
        <w:ind w:firstLineChars="200" w:firstLine="640"/>
        <w:jc w:val="both"/>
        <w:rPr>
          <w:rFonts w:ascii="黑体" w:eastAsia="黑体" w:hAnsi="黑体" w:cs="黑体" w:hint="default"/>
          <w:sz w:val="32"/>
          <w:szCs w:val="32"/>
        </w:rPr>
      </w:pPr>
      <w:r>
        <w:rPr>
          <w:rFonts w:ascii="仿宋_GB2312" w:eastAsia="仿宋_GB2312" w:hAnsi="仿宋_GB2312" w:cs="仿宋_GB2312"/>
          <w:color w:val="000000" w:themeColor="text1"/>
          <w:sz w:val="32"/>
          <w:szCs w:val="32"/>
        </w:rPr>
        <w:t>三门峡市城乡一体化示范区科技局2022年收入预算总</w:t>
      </w:r>
      <w:r>
        <w:rPr>
          <w:rFonts w:ascii="仿宋_GB2312" w:eastAsia="仿宋_GB2312" w:hAnsi="仿宋_GB2312" w:cs="仿宋_GB2312"/>
          <w:sz w:val="32"/>
          <w:szCs w:val="32"/>
        </w:rPr>
        <w:t>计10556.73万元，支出预算总计10556.73万元。与2021年相比，收、支总计各增加3625.8万元，上升0.34％，主要原因：一是在编人员的工资、各项奖金与社保费用均相应增加，总工资福利支出增加；二是增加高新技术企业、创新龙头企业培育，增加研发平台搭建，企业研发补助支出增加。</w:t>
      </w:r>
    </w:p>
    <w:p w14:paraId="547D260D" w14:textId="77777777" w:rsidR="00A147FF" w:rsidRDefault="00000000">
      <w:pPr>
        <w:pStyle w:val="a8"/>
        <w:numPr>
          <w:ilvl w:val="0"/>
          <w:numId w:val="4"/>
        </w:numPr>
        <w:shd w:val="clear" w:color="auto" w:fill="FFFFFF"/>
        <w:spacing w:beforeAutospacing="0" w:afterAutospacing="0"/>
        <w:ind w:firstLine="640"/>
        <w:jc w:val="both"/>
        <w:rPr>
          <w:rFonts w:ascii="黑体" w:eastAsia="黑体" w:hAnsi="黑体" w:cs="黑体" w:hint="default"/>
          <w:sz w:val="32"/>
          <w:szCs w:val="32"/>
        </w:rPr>
      </w:pPr>
      <w:r>
        <w:rPr>
          <w:rFonts w:ascii="黑体" w:eastAsia="黑体" w:hAnsi="黑体" w:cs="黑体"/>
          <w:sz w:val="32"/>
          <w:szCs w:val="32"/>
        </w:rPr>
        <w:t>收入预算总体情况说明</w:t>
      </w:r>
    </w:p>
    <w:p w14:paraId="6029A38D" w14:textId="77777777" w:rsidR="00A147FF" w:rsidRPr="006A1328" w:rsidRDefault="00000000">
      <w:pPr>
        <w:pStyle w:val="a8"/>
        <w:shd w:val="clear" w:color="auto" w:fill="FFFFFF"/>
        <w:spacing w:beforeAutospacing="0" w:afterAutospacing="0"/>
        <w:ind w:firstLineChars="200" w:firstLine="640"/>
        <w:jc w:val="both"/>
        <w:rPr>
          <w:rFonts w:ascii="仿宋_GB2312" w:eastAsia="仿宋_GB2312" w:hAnsi="仿宋_GB2312" w:cs="仿宋_GB2312" w:hint="default"/>
          <w:color w:val="000000" w:themeColor="text1"/>
          <w:sz w:val="32"/>
          <w:szCs w:val="32"/>
        </w:rPr>
      </w:pPr>
      <w:r w:rsidRPr="006A1328">
        <w:rPr>
          <w:rFonts w:ascii="仿宋_GB2312" w:eastAsia="仿宋_GB2312" w:hAnsi="仿宋_GB2312" w:cs="仿宋_GB2312"/>
          <w:color w:val="000000" w:themeColor="text1"/>
          <w:sz w:val="32"/>
          <w:szCs w:val="32"/>
        </w:rPr>
        <w:t>三门峡市城乡一体化示范区科技局2022年收入预算总计10556.73万元，其中：一般公共预算10556.73万元；政府性基金预算收入0万元；国有资本经营预算收入0万元；其他收入0万元。</w:t>
      </w:r>
    </w:p>
    <w:p w14:paraId="38744877" w14:textId="77777777" w:rsidR="00A147FF" w:rsidRDefault="00000000">
      <w:pPr>
        <w:pStyle w:val="a8"/>
        <w:numPr>
          <w:ilvl w:val="0"/>
          <w:numId w:val="4"/>
        </w:numPr>
        <w:shd w:val="clear" w:color="auto" w:fill="FFFFFF"/>
        <w:spacing w:beforeAutospacing="0" w:afterAutospacing="0"/>
        <w:ind w:firstLine="640"/>
        <w:jc w:val="both"/>
        <w:rPr>
          <w:rFonts w:ascii="黑体" w:eastAsia="黑体" w:hAnsi="黑体" w:cs="黑体" w:hint="default"/>
          <w:sz w:val="32"/>
          <w:szCs w:val="32"/>
        </w:rPr>
      </w:pPr>
      <w:r>
        <w:rPr>
          <w:rFonts w:ascii="黑体" w:eastAsia="黑体" w:hAnsi="黑体" w:cs="黑体"/>
          <w:sz w:val="32"/>
          <w:szCs w:val="32"/>
        </w:rPr>
        <w:t>支出预算总体情况说明</w:t>
      </w:r>
    </w:p>
    <w:p w14:paraId="600CDAD0" w14:textId="77777777" w:rsidR="00A147FF" w:rsidRDefault="00000000" w:rsidP="00EA435C">
      <w:pPr>
        <w:pStyle w:val="a8"/>
        <w:shd w:val="clear" w:color="auto" w:fill="FFFFFF"/>
        <w:spacing w:beforeAutospacing="0" w:afterAutospacing="0"/>
        <w:ind w:firstLineChars="200"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sz w:val="32"/>
          <w:szCs w:val="32"/>
        </w:rPr>
        <w:lastRenderedPageBreak/>
        <w:t>三门峡市城乡一体化示范区科技局2022年支出合计10556.73万元，</w:t>
      </w:r>
      <w:r>
        <w:rPr>
          <w:rFonts w:ascii="仿宋_GB2312" w:eastAsia="仿宋_GB2312" w:hAnsi="仿宋_GB2312" w:cs="仿宋_GB2312"/>
          <w:color w:val="000000" w:themeColor="text1"/>
          <w:sz w:val="32"/>
          <w:szCs w:val="32"/>
        </w:rPr>
        <w:t>其中：基本支出22.29万元，占0.21％；项目支出10534.44万元，占99.79％。</w:t>
      </w:r>
    </w:p>
    <w:p w14:paraId="683358BE" w14:textId="77777777" w:rsidR="00A147FF" w:rsidRDefault="00000000">
      <w:pPr>
        <w:pStyle w:val="a8"/>
        <w:numPr>
          <w:ilvl w:val="0"/>
          <w:numId w:val="4"/>
        </w:numPr>
        <w:shd w:val="clear" w:color="auto" w:fill="FFFFFF"/>
        <w:spacing w:beforeAutospacing="0" w:afterAutospacing="0"/>
        <w:ind w:firstLine="640"/>
        <w:jc w:val="both"/>
        <w:rPr>
          <w:rFonts w:ascii="黑体" w:eastAsia="黑体" w:hAnsi="黑体" w:cs="黑体" w:hint="default"/>
          <w:sz w:val="32"/>
          <w:szCs w:val="32"/>
        </w:rPr>
      </w:pPr>
      <w:r>
        <w:rPr>
          <w:rFonts w:ascii="黑体" w:eastAsia="黑体" w:hAnsi="黑体" w:cs="黑体"/>
          <w:sz w:val="32"/>
          <w:szCs w:val="32"/>
        </w:rPr>
        <w:t>财政拔款收入支出预算总体情况说明</w:t>
      </w:r>
    </w:p>
    <w:p w14:paraId="14E0628B" w14:textId="77777777" w:rsidR="00A147FF" w:rsidRDefault="00000000">
      <w:pPr>
        <w:ind w:firstLine="651"/>
        <w:rPr>
          <w:rFonts w:ascii="仿宋_GB2312" w:eastAsia="仿宋_GB2312" w:hAnsi="仿宋_GB2312" w:cs="仿宋_GB2312"/>
          <w:sz w:val="32"/>
          <w:szCs w:val="32"/>
        </w:rPr>
      </w:pPr>
      <w:r>
        <w:rPr>
          <w:rFonts w:ascii="仿宋_GB2312" w:eastAsia="仿宋_GB2312" w:hAnsi="仿宋_GB2312" w:cs="仿宋_GB2312" w:hint="eastAsia"/>
          <w:sz w:val="32"/>
          <w:szCs w:val="32"/>
        </w:rPr>
        <w:t>三门峡市城乡一体化示范区科技局2022年一般公共预算10556.73万元，政府性基金收支预算0万元。与2021年相比，收、支总计各增加3625.8万元，上升0.34％。主要原因：一是在编人员的工资、各项奖金与社保费用均相应增加，总工资福利支出增加；二是增加高新技术企业、创新龙头企业培育，增加研发平台搭建，企业研发补助支出增加。主要原因：政府性基金收支增加0万元，增长0%；主要原因：本单位未使用政府性基金预算拨款安排的支出。</w:t>
      </w:r>
    </w:p>
    <w:p w14:paraId="7F312916" w14:textId="77777777" w:rsidR="00A147FF" w:rsidRDefault="00000000">
      <w:pPr>
        <w:pStyle w:val="a8"/>
        <w:shd w:val="clear" w:color="auto" w:fill="FFFFFF"/>
        <w:spacing w:beforeAutospacing="0" w:afterAutospacing="0"/>
        <w:ind w:firstLineChars="200" w:firstLine="640"/>
        <w:jc w:val="both"/>
        <w:rPr>
          <w:rFonts w:ascii="黑体" w:eastAsia="黑体" w:hAnsi="黑体" w:cs="黑体" w:hint="default"/>
          <w:sz w:val="32"/>
          <w:szCs w:val="32"/>
        </w:rPr>
      </w:pPr>
      <w:r>
        <w:rPr>
          <w:rFonts w:ascii="黑体" w:eastAsia="黑体" w:hAnsi="黑体" w:cs="黑体"/>
          <w:sz w:val="32"/>
          <w:szCs w:val="32"/>
        </w:rPr>
        <w:t>五、一般公共预算支出预算情况说明</w:t>
      </w:r>
    </w:p>
    <w:p w14:paraId="1C0232D8" w14:textId="5E39FB8B" w:rsidR="00A147FF" w:rsidRPr="004217DC" w:rsidRDefault="00000000">
      <w:pPr>
        <w:pStyle w:val="a8"/>
        <w:shd w:val="clear" w:color="auto" w:fill="FFFFFF"/>
        <w:spacing w:beforeAutospacing="0" w:afterAutospacing="0"/>
        <w:ind w:firstLineChars="200" w:firstLine="640"/>
        <w:jc w:val="both"/>
        <w:rPr>
          <w:rFonts w:ascii="Times New Roman" w:eastAsia="仿宋" w:hAnsi="Times New Roman" w:hint="default"/>
          <w:color w:val="000000" w:themeColor="text1"/>
          <w:sz w:val="32"/>
          <w:szCs w:val="32"/>
        </w:rPr>
      </w:pPr>
      <w:r>
        <w:rPr>
          <w:rFonts w:ascii="仿宋_GB2312" w:eastAsia="仿宋_GB2312" w:hAnsi="仿宋_GB2312" w:cs="仿宋_GB2312"/>
          <w:sz w:val="32"/>
          <w:szCs w:val="32"/>
        </w:rPr>
        <w:t>三门峡市城乡一体化示范区科技局2022年一般公共预算支出年初预算为10556.73万元。主要用于以下方面：科学技术支出551.14万元</w:t>
      </w:r>
      <w:r w:rsidRPr="004217DC">
        <w:rPr>
          <w:rFonts w:ascii="仿宋_GB2312" w:eastAsia="仿宋_GB2312" w:hAnsi="仿宋_GB2312" w:cs="仿宋_GB2312"/>
          <w:color w:val="000000" w:themeColor="text1"/>
          <w:sz w:val="32"/>
          <w:szCs w:val="32"/>
        </w:rPr>
        <w:t>，占5.</w:t>
      </w:r>
      <w:r w:rsidR="004217DC" w:rsidRPr="004217DC">
        <w:rPr>
          <w:rFonts w:ascii="仿宋_GB2312" w:eastAsia="仿宋_GB2312" w:hAnsi="仿宋_GB2312" w:cs="仿宋_GB2312" w:hint="default"/>
          <w:color w:val="000000" w:themeColor="text1"/>
          <w:sz w:val="32"/>
          <w:szCs w:val="32"/>
        </w:rPr>
        <w:t>22</w:t>
      </w:r>
      <w:r w:rsidRPr="004217DC">
        <w:rPr>
          <w:rFonts w:ascii="仿宋_GB2312" w:eastAsia="仿宋_GB2312" w:hAnsi="仿宋_GB2312" w:cs="仿宋_GB2312"/>
          <w:color w:val="000000" w:themeColor="text1"/>
          <w:sz w:val="32"/>
          <w:szCs w:val="32"/>
        </w:rPr>
        <w:t>%；社会保障和就业支出1.55万元，占0.0</w:t>
      </w:r>
      <w:r w:rsidR="004217DC" w:rsidRPr="004217DC">
        <w:rPr>
          <w:rFonts w:ascii="仿宋_GB2312" w:eastAsia="仿宋_GB2312" w:hAnsi="仿宋_GB2312" w:cs="仿宋_GB2312" w:hint="default"/>
          <w:color w:val="000000" w:themeColor="text1"/>
          <w:sz w:val="32"/>
          <w:szCs w:val="32"/>
        </w:rPr>
        <w:t>1</w:t>
      </w:r>
      <w:r w:rsidRPr="004217DC">
        <w:rPr>
          <w:rFonts w:ascii="仿宋_GB2312" w:eastAsia="仿宋_GB2312" w:hAnsi="仿宋_GB2312" w:cs="仿宋_GB2312"/>
          <w:color w:val="000000" w:themeColor="text1"/>
          <w:sz w:val="32"/>
          <w:szCs w:val="32"/>
        </w:rPr>
        <w:t>%；卫生健康支出1.21万元，占0.0</w:t>
      </w:r>
      <w:r w:rsidR="004217DC" w:rsidRPr="004217DC">
        <w:rPr>
          <w:rFonts w:ascii="仿宋_GB2312" w:eastAsia="仿宋_GB2312" w:hAnsi="仿宋_GB2312" w:cs="仿宋_GB2312" w:hint="default"/>
          <w:color w:val="000000" w:themeColor="text1"/>
          <w:sz w:val="32"/>
          <w:szCs w:val="32"/>
        </w:rPr>
        <w:t>1</w:t>
      </w:r>
      <w:r w:rsidRPr="004217DC">
        <w:rPr>
          <w:rFonts w:ascii="仿宋_GB2312" w:eastAsia="仿宋_GB2312" w:hAnsi="仿宋_GB2312" w:cs="仿宋_GB2312"/>
          <w:color w:val="000000" w:themeColor="text1"/>
          <w:sz w:val="32"/>
          <w:szCs w:val="32"/>
        </w:rPr>
        <w:t>%；资源勘探信息10000万元，94.7</w:t>
      </w:r>
      <w:r w:rsidR="00FB484A" w:rsidRPr="004217DC">
        <w:rPr>
          <w:rFonts w:ascii="仿宋_GB2312" w:eastAsia="仿宋_GB2312" w:hAnsi="仿宋_GB2312" w:cs="仿宋_GB2312" w:hint="default"/>
          <w:color w:val="000000" w:themeColor="text1"/>
          <w:sz w:val="32"/>
          <w:szCs w:val="32"/>
        </w:rPr>
        <w:t>3</w:t>
      </w:r>
      <w:r w:rsidRPr="004217DC">
        <w:rPr>
          <w:rFonts w:ascii="仿宋_GB2312" w:eastAsia="仿宋_GB2312" w:hAnsi="仿宋_GB2312" w:cs="仿宋_GB2312"/>
          <w:color w:val="000000" w:themeColor="text1"/>
          <w:sz w:val="32"/>
          <w:szCs w:val="32"/>
        </w:rPr>
        <w:t>%；农林水事务支出0.95万元，占0.</w:t>
      </w:r>
      <w:r w:rsidR="00FB484A" w:rsidRPr="004217DC">
        <w:rPr>
          <w:rFonts w:ascii="仿宋_GB2312" w:eastAsia="仿宋_GB2312" w:hAnsi="仿宋_GB2312" w:cs="仿宋_GB2312" w:hint="default"/>
          <w:color w:val="000000" w:themeColor="text1"/>
          <w:sz w:val="32"/>
          <w:szCs w:val="32"/>
        </w:rPr>
        <w:t>01</w:t>
      </w:r>
      <w:r w:rsidRPr="004217DC">
        <w:rPr>
          <w:rFonts w:ascii="仿宋_GB2312" w:eastAsia="仿宋_GB2312" w:hAnsi="仿宋_GB2312" w:cs="仿宋_GB2312"/>
          <w:color w:val="000000" w:themeColor="text1"/>
          <w:sz w:val="32"/>
          <w:szCs w:val="32"/>
        </w:rPr>
        <w:t>%；住房保障支出1.88万元，占0.0</w:t>
      </w:r>
      <w:r w:rsidR="004217DC" w:rsidRPr="004217DC">
        <w:rPr>
          <w:rFonts w:ascii="仿宋_GB2312" w:eastAsia="仿宋_GB2312" w:hAnsi="仿宋_GB2312" w:cs="仿宋_GB2312" w:hint="default"/>
          <w:color w:val="000000" w:themeColor="text1"/>
          <w:sz w:val="32"/>
          <w:szCs w:val="32"/>
        </w:rPr>
        <w:t>2</w:t>
      </w:r>
      <w:r w:rsidRPr="004217DC">
        <w:rPr>
          <w:rFonts w:ascii="仿宋_GB2312" w:eastAsia="仿宋_GB2312" w:hAnsi="仿宋_GB2312" w:cs="仿宋_GB2312"/>
          <w:color w:val="000000" w:themeColor="text1"/>
          <w:sz w:val="32"/>
          <w:szCs w:val="32"/>
        </w:rPr>
        <w:t>%</w:t>
      </w:r>
      <w:r w:rsidRPr="004217DC">
        <w:rPr>
          <w:rFonts w:ascii="仿宋" w:eastAsia="仿宋" w:hAnsi="仿宋" w:cs="仿宋"/>
          <w:color w:val="000000" w:themeColor="text1"/>
          <w:sz w:val="32"/>
          <w:szCs w:val="32"/>
        </w:rPr>
        <w:t>。</w:t>
      </w:r>
    </w:p>
    <w:p w14:paraId="1B655A11" w14:textId="77777777" w:rsidR="00A147FF" w:rsidRDefault="00000000">
      <w:pPr>
        <w:pStyle w:val="a8"/>
        <w:shd w:val="clear" w:color="auto" w:fill="FFFFFF"/>
        <w:spacing w:beforeAutospacing="0" w:afterAutospacing="0"/>
        <w:ind w:firstLineChars="200" w:firstLine="640"/>
        <w:jc w:val="both"/>
        <w:rPr>
          <w:rFonts w:ascii="黑体" w:eastAsia="黑体" w:hAnsi="黑体" w:cs="黑体" w:hint="default"/>
          <w:sz w:val="32"/>
          <w:szCs w:val="32"/>
        </w:rPr>
      </w:pPr>
      <w:r>
        <w:rPr>
          <w:rFonts w:ascii="黑体" w:eastAsia="黑体" w:hAnsi="黑体" w:cs="黑体"/>
          <w:sz w:val="32"/>
          <w:szCs w:val="32"/>
        </w:rPr>
        <w:t>六、一般公共预算基本支出预算情况说明和支出预算经济分类情况说明</w:t>
      </w:r>
    </w:p>
    <w:p w14:paraId="1A3D1099" w14:textId="77777777" w:rsidR="00A147FF" w:rsidRDefault="00000000">
      <w:pPr>
        <w:pStyle w:val="a8"/>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三门峡市城乡一体化示范区科技局2022年一般公共预算基本支出22.29万元，其中：人员经费20.40万元，主要包括：基本工资、绩效工资、津贴补贴、失业保险、基本养老保险、医疗保险工伤保险、生育保险、住房公积金、职业年金、其他工资福利支出；公用经费1.88万元，主要包括：办公费、印刷费、差旅费、维修（护）费、培训费、劳务费、委托业务费、办公设备购置、其他资本性支出、咨询费。</w:t>
      </w:r>
    </w:p>
    <w:p w14:paraId="33B28FEE" w14:textId="77777777" w:rsidR="00A147FF" w:rsidRDefault="00000000">
      <w:pPr>
        <w:pStyle w:val="a8"/>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14:paraId="644868D6" w14:textId="77777777" w:rsidR="00A147FF" w:rsidRDefault="00000000">
      <w:pPr>
        <w:pStyle w:val="a8"/>
        <w:shd w:val="clear" w:color="auto" w:fill="FFFFFF"/>
        <w:spacing w:beforeAutospacing="0" w:afterAutospacing="0"/>
        <w:ind w:firstLineChars="200" w:firstLine="640"/>
        <w:jc w:val="both"/>
        <w:rPr>
          <w:rFonts w:ascii="黑体" w:eastAsia="黑体" w:hAnsi="黑体" w:cs="黑体" w:hint="default"/>
          <w:sz w:val="32"/>
          <w:szCs w:val="32"/>
        </w:rPr>
      </w:pPr>
      <w:r>
        <w:rPr>
          <w:rFonts w:ascii="黑体" w:eastAsia="黑体" w:hAnsi="黑体" w:cs="黑体"/>
          <w:sz w:val="32"/>
          <w:szCs w:val="32"/>
        </w:rPr>
        <w:t>七、一般公共预算“三公”经费情况说明</w:t>
      </w:r>
    </w:p>
    <w:p w14:paraId="15E71004" w14:textId="1D3D95D2" w:rsidR="006A1328" w:rsidRDefault="006A1328" w:rsidP="006A132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我单位2022年“三公”经费预算为0万元。2022年“三公”经费支出预算数较2021年增加0万元，增长0%。</w:t>
      </w:r>
    </w:p>
    <w:p w14:paraId="5C5E1715" w14:textId="77777777" w:rsidR="006A1328" w:rsidRDefault="006A1328" w:rsidP="006A132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具体支出情况如下：</w:t>
      </w:r>
    </w:p>
    <w:p w14:paraId="20A87239" w14:textId="77777777" w:rsidR="006A1328" w:rsidRDefault="006A1328" w:rsidP="006A1328">
      <w:pPr>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(一)因公出国（境）经费0万元，主要用于单位工作人员公务出国(境)的住宿费、旅费、伙食补助费、杂费、培训费等支出。2022年我单位共计安排因公出国(境)团组0个，</w:t>
      </w:r>
      <w:r>
        <w:rPr>
          <w:rFonts w:ascii="仿宋_GB2312" w:eastAsia="仿宋_GB2312" w:hAnsi="仿宋_GB2312" w:cs="仿宋_GB2312" w:hint="eastAsia"/>
          <w:sz w:val="32"/>
          <w:szCs w:val="32"/>
        </w:rPr>
        <w:lastRenderedPageBreak/>
        <w:t>因公出国（境）0人次。预算数较2021年增加0万元，增长0%，主要原因是：目前没有需要出国（境）的业务。</w:t>
      </w:r>
    </w:p>
    <w:p w14:paraId="7932B644" w14:textId="77777777" w:rsidR="006A1328" w:rsidRDefault="006A1328" w:rsidP="006A132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(二)公务接待费0万元，主要用于按规定开支的各类公务接待(含外宾接待)支出。预算数较2021年增加0万元，增长0%，主要原因是：目前没有公务接待。</w:t>
      </w:r>
    </w:p>
    <w:p w14:paraId="48EACF9B" w14:textId="097FFDBF" w:rsidR="00A147FF" w:rsidRPr="006A1328" w:rsidRDefault="006A1328" w:rsidP="006A132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务用车购置及运行费0万元，其中，公务用车购置费0元；公务用车运行维护费0万元，主要用于开展工作所需公务用车的燃料费、维修费、过路过桥费、保险费、安全奖励费用等支出。公务用车购置费预算数和公务用车运行维护费预算数较2021年增加0万元，增长0%，主要原因是：本单位无公务用车。</w:t>
      </w:r>
    </w:p>
    <w:p w14:paraId="732B3C6E" w14:textId="77777777" w:rsidR="00A147FF" w:rsidRDefault="00000000">
      <w:pPr>
        <w:rPr>
          <w:rFonts w:ascii="仿宋" w:eastAsia="仿宋" w:hAnsi="仿宋" w:cs="仿宋"/>
          <w:sz w:val="32"/>
          <w:szCs w:val="32"/>
        </w:rPr>
      </w:pPr>
      <w:r>
        <w:rPr>
          <w:rFonts w:ascii="仿宋" w:eastAsia="仿宋" w:hAnsi="仿宋" w:cs="仿宋" w:hint="eastAsia"/>
          <w:b/>
          <w:bCs/>
          <w:sz w:val="32"/>
          <w:szCs w:val="32"/>
        </w:rPr>
        <w:tab/>
        <w:t xml:space="preserve"> </w:t>
      </w:r>
      <w:r>
        <w:rPr>
          <w:rFonts w:ascii="黑体" w:eastAsia="黑体" w:hAnsi="黑体" w:cs="黑体" w:hint="eastAsia"/>
          <w:kern w:val="0"/>
          <w:sz w:val="32"/>
          <w:szCs w:val="32"/>
        </w:rPr>
        <w:t xml:space="preserve"> 八、政府性基金支出预算情况说明</w:t>
      </w:r>
    </w:p>
    <w:p w14:paraId="5CBA40F8" w14:textId="77777777" w:rsidR="00A147FF" w:rsidRDefault="00000000">
      <w:pPr>
        <w:ind w:firstLine="640"/>
        <w:rPr>
          <w:rFonts w:ascii="仿宋" w:eastAsia="仿宋" w:hAnsi="仿宋" w:cs="仿宋"/>
          <w:sz w:val="32"/>
          <w:szCs w:val="32"/>
        </w:rPr>
      </w:pPr>
      <w:r>
        <w:rPr>
          <w:rFonts w:ascii="仿宋_GB2312" w:eastAsia="仿宋_GB2312" w:hAnsi="仿宋_GB2312" w:cs="仿宋_GB2312" w:hint="eastAsia"/>
          <w:sz w:val="32"/>
          <w:szCs w:val="32"/>
        </w:rPr>
        <w:t>我单位2022年政府性基金预算安排收入0万元，支出0万元，较上年无变化。</w:t>
      </w:r>
      <w:r>
        <w:rPr>
          <w:rFonts w:ascii="仿宋" w:eastAsia="仿宋" w:hAnsi="仿宋" w:cs="仿宋" w:hint="eastAsia"/>
          <w:sz w:val="32"/>
          <w:szCs w:val="32"/>
        </w:rPr>
        <w:t xml:space="preserve">　</w:t>
      </w:r>
    </w:p>
    <w:p w14:paraId="705B516B" w14:textId="77777777" w:rsidR="00A147FF" w:rsidRDefault="00000000">
      <w:pPr>
        <w:pStyle w:val="a8"/>
        <w:shd w:val="clear" w:color="auto" w:fill="FFFFFF"/>
        <w:spacing w:beforeAutospacing="0" w:afterAutospacing="0"/>
        <w:ind w:firstLineChars="200" w:firstLine="640"/>
        <w:jc w:val="both"/>
        <w:rPr>
          <w:rFonts w:ascii="黑体" w:eastAsia="黑体" w:hAnsi="黑体" w:cs="黑体" w:hint="default"/>
          <w:sz w:val="32"/>
          <w:szCs w:val="32"/>
        </w:rPr>
      </w:pPr>
      <w:r>
        <w:rPr>
          <w:rFonts w:ascii="黑体" w:eastAsia="黑体" w:hAnsi="黑体" w:cs="黑体"/>
          <w:sz w:val="32"/>
          <w:szCs w:val="32"/>
        </w:rPr>
        <w:t>九、其他重要事项的情况说明</w:t>
      </w:r>
    </w:p>
    <w:p w14:paraId="7A4F6237" w14:textId="77777777" w:rsidR="00A147FF" w:rsidRDefault="00000000">
      <w:pPr>
        <w:pStyle w:val="a8"/>
        <w:shd w:val="clear" w:color="auto" w:fill="FFFFFF"/>
        <w:spacing w:beforeAutospacing="0" w:afterAutospacing="0"/>
        <w:ind w:firstLineChars="200" w:firstLine="643"/>
        <w:jc w:val="both"/>
        <w:rPr>
          <w:rFonts w:ascii="楷体" w:eastAsia="楷体" w:hAnsi="楷体" w:cs="楷体" w:hint="default"/>
          <w:b/>
          <w:bCs/>
          <w:sz w:val="32"/>
          <w:szCs w:val="32"/>
        </w:rPr>
      </w:pPr>
      <w:r>
        <w:rPr>
          <w:rFonts w:ascii="楷体" w:eastAsia="楷体" w:hAnsi="楷体" w:cs="楷体"/>
          <w:b/>
          <w:bCs/>
          <w:sz w:val="32"/>
          <w:szCs w:val="32"/>
        </w:rPr>
        <w:t>（一）机关运行经费支出情况</w:t>
      </w:r>
    </w:p>
    <w:p w14:paraId="5277CAFF" w14:textId="77777777" w:rsidR="00A147FF" w:rsidRDefault="00000000">
      <w:pPr>
        <w:pStyle w:val="a8"/>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三门峡市城乡一体化示范区科技局2022年机关运行经费支出10556.73万元。与2021年相比，收、支总计各增加3625.8万元。上升0.34％。主要原因：一是在编人员的工资、各项奖金与社保费用均相应增加，总工资福利支出增加；二是增加高新技术企业、创新龙头企业培育，增加研发平台搭建，企业研发补助支出增加。</w:t>
      </w:r>
    </w:p>
    <w:p w14:paraId="58B36B95" w14:textId="77777777" w:rsidR="00A147FF"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楷体" w:eastAsia="楷体" w:hAnsi="楷体" w:cs="楷体" w:hint="eastAsia"/>
          <w:b/>
          <w:bCs/>
          <w:kern w:val="0"/>
          <w:sz w:val="32"/>
          <w:szCs w:val="32"/>
        </w:rPr>
        <w:t>（二）政府采购支出情况</w:t>
      </w:r>
    </w:p>
    <w:p w14:paraId="76330FE3" w14:textId="77777777" w:rsidR="00A147FF" w:rsidRDefault="00000000">
      <w:pPr>
        <w:pStyle w:val="a8"/>
        <w:shd w:val="clear" w:color="auto" w:fill="FFFFFF"/>
        <w:spacing w:beforeAutospacing="0" w:afterAutospacing="0"/>
        <w:ind w:firstLineChars="200" w:firstLine="640"/>
        <w:jc w:val="both"/>
        <w:rPr>
          <w:rFonts w:ascii="Times New Roman" w:eastAsia="仿宋_GB2312" w:hAnsi="Times New Roman" w:hint="default"/>
          <w:sz w:val="32"/>
          <w:szCs w:val="32"/>
        </w:rPr>
      </w:pPr>
      <w:r>
        <w:rPr>
          <w:rFonts w:ascii="仿宋_GB2312" w:eastAsia="仿宋_GB2312" w:hAnsi="仿宋_GB2312" w:cs="仿宋_GB2312"/>
          <w:sz w:val="32"/>
          <w:szCs w:val="32"/>
        </w:rPr>
        <w:t>三门峡市城乡一体化示范区科技局2022年政府采购预算安排0万元。其中：政府采购货物预算0万元，政府采购工程预算0万元，政府采购服务预算0万元。</w:t>
      </w:r>
    </w:p>
    <w:p w14:paraId="1FF572B9" w14:textId="77777777" w:rsidR="00A147FF" w:rsidRDefault="00000000">
      <w:pPr>
        <w:pStyle w:val="a8"/>
        <w:shd w:val="clear" w:color="auto" w:fill="FFFFFF"/>
        <w:spacing w:beforeAutospacing="0" w:afterAutospacing="0"/>
        <w:ind w:firstLineChars="200" w:firstLine="643"/>
        <w:jc w:val="both"/>
        <w:rPr>
          <w:rFonts w:ascii="楷体" w:eastAsia="楷体" w:hAnsi="楷体" w:cs="楷体" w:hint="default"/>
          <w:b/>
          <w:bCs/>
          <w:sz w:val="32"/>
          <w:szCs w:val="32"/>
        </w:rPr>
      </w:pPr>
      <w:r>
        <w:rPr>
          <w:rFonts w:ascii="楷体" w:eastAsia="楷体" w:hAnsi="楷体" w:cs="楷体"/>
          <w:b/>
          <w:bCs/>
          <w:sz w:val="32"/>
          <w:szCs w:val="32"/>
        </w:rPr>
        <w:t>（三）关于预算绩效管理工作开展情况说明</w:t>
      </w:r>
    </w:p>
    <w:p w14:paraId="263EF568" w14:textId="77777777" w:rsidR="00A147F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2022年预算项目均按要求编制了绩效目标，从项目产出、项目效益、满意度等方面设置了绩效指标，综合反映项目预期完成的数量、实效、质量，预期达到的社会经济效益、可持续影响以及服务对象满意度等情况。</w:t>
      </w:r>
    </w:p>
    <w:p w14:paraId="58595439" w14:textId="77777777" w:rsidR="00A147F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我单位对5个项目进行了预算绩效评价，涉及资金10534.44万元。2022年，我部门纳入预算绩效管理的支出总额为10556.73万元，其中人员经费支出20.4万元，公用经费支出1.88万元，支出项目共5个，支出总额10556.73万元，其中预算支出100万元及100万元以上项目3个，支出总额10556.73万元。</w:t>
      </w:r>
    </w:p>
    <w:p w14:paraId="7600E672" w14:textId="77777777" w:rsidR="00A147FF" w:rsidRDefault="00000000">
      <w:pPr>
        <w:ind w:firstLine="650"/>
        <w:rPr>
          <w:rFonts w:ascii="楷体" w:eastAsia="楷体" w:hAnsi="楷体" w:cs="楷体"/>
          <w:b/>
          <w:bCs/>
          <w:sz w:val="32"/>
          <w:szCs w:val="32"/>
        </w:rPr>
      </w:pPr>
      <w:r>
        <w:rPr>
          <w:rFonts w:ascii="楷体" w:eastAsia="楷体" w:hAnsi="楷体" w:cs="楷体" w:hint="eastAsia"/>
          <w:b/>
          <w:bCs/>
          <w:sz w:val="32"/>
          <w:szCs w:val="32"/>
        </w:rPr>
        <w:t>（四）国有资产占用情况</w:t>
      </w:r>
    </w:p>
    <w:p w14:paraId="1B959828" w14:textId="77777777" w:rsidR="00A147FF" w:rsidRDefault="00000000">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2022年期末，我单位固定资产总额20.89万元，其中：通用设备20.89万元，家具、用具0万元，房屋建筑物0万元，车辆0万元。其中：一般公务用车0辆；单价50万元以上通用设备0台（套），单位价值100万元以上专用设备0台（套）。</w:t>
      </w:r>
    </w:p>
    <w:p w14:paraId="54FAEA02" w14:textId="77777777" w:rsidR="00A147FF" w:rsidRDefault="00000000">
      <w:pPr>
        <w:ind w:firstLine="650"/>
        <w:rPr>
          <w:rFonts w:ascii="楷体" w:eastAsia="楷体" w:hAnsi="楷体" w:cs="楷体"/>
          <w:b/>
          <w:bCs/>
          <w:sz w:val="32"/>
          <w:szCs w:val="32"/>
        </w:rPr>
      </w:pPr>
      <w:r>
        <w:rPr>
          <w:rFonts w:ascii="楷体" w:eastAsia="楷体" w:hAnsi="楷体" w:cs="楷体" w:hint="eastAsia"/>
          <w:b/>
          <w:bCs/>
          <w:sz w:val="32"/>
          <w:szCs w:val="32"/>
        </w:rPr>
        <w:t>（五）专项转移支付项目情况</w:t>
      </w:r>
    </w:p>
    <w:p w14:paraId="38F02066" w14:textId="77777777" w:rsidR="00A147F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我单位2022年无专项转移支付项目，我单位将按照《预算法》等有关规定，积极做好项目分配前期准备工作，在规定的时间内向财政部门提出资金分配意见，根据有关要求做好项目申报公开等相关工作。</w:t>
      </w:r>
    </w:p>
    <w:p w14:paraId="6F17C271" w14:textId="77777777" w:rsidR="00A147FF" w:rsidRDefault="00000000">
      <w:pPr>
        <w:ind w:firstLine="650"/>
        <w:jc w:val="center"/>
        <w:rPr>
          <w:rFonts w:ascii="黑体" w:eastAsia="黑体" w:hAnsi="黑体" w:cs="黑体"/>
          <w:sz w:val="32"/>
          <w:szCs w:val="32"/>
        </w:rPr>
      </w:pPr>
      <w:r>
        <w:rPr>
          <w:rFonts w:ascii="黑体" w:eastAsia="黑体" w:hAnsi="黑体" w:cs="黑体" w:hint="eastAsia"/>
          <w:sz w:val="32"/>
          <w:szCs w:val="32"/>
        </w:rPr>
        <w:t>第三部分   名词解释</w:t>
      </w:r>
    </w:p>
    <w:p w14:paraId="7D8B5DA3" w14:textId="77777777" w:rsidR="00A147FF" w:rsidRDefault="00000000">
      <w:pPr>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一、财政拨款收入：是指区级财政当年拨付的资金。</w:t>
      </w:r>
    </w:p>
    <w:p w14:paraId="66942854" w14:textId="77777777" w:rsidR="00A147FF" w:rsidRDefault="00000000">
      <w:pPr>
        <w:ind w:firstLine="650"/>
        <w:rPr>
          <w:rFonts w:ascii="文星标宋" w:eastAsia="文星标宋" w:hAnsi="文星标宋" w:cs="文星标宋"/>
          <w:sz w:val="32"/>
          <w:szCs w:val="32"/>
        </w:rPr>
      </w:pPr>
      <w:r>
        <w:rPr>
          <w:rFonts w:ascii="仿宋_GB2312" w:eastAsia="仿宋_GB2312" w:hAnsi="仿宋_GB2312" w:cs="仿宋_GB2312" w:hint="eastAsia"/>
          <w:sz w:val="32"/>
          <w:szCs w:val="32"/>
        </w:rPr>
        <w:t>二、事业收入：是指事业单位开展专业活动及辅助活动所取得的收入。</w:t>
      </w:r>
    </w:p>
    <w:p w14:paraId="5CDC10EE" w14:textId="77777777" w:rsidR="00A147FF" w:rsidRDefault="00000000">
      <w:pPr>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三、其他收入：是指部门取得的除“财政拨款”、“事业收入”、“事业单位经营收入”等以外的收入。</w:t>
      </w:r>
    </w:p>
    <w:p w14:paraId="01826251" w14:textId="77777777" w:rsidR="00A147FF" w:rsidRDefault="00000000">
      <w:pPr>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02026777" w14:textId="77777777" w:rsidR="00A147FF" w:rsidRDefault="00000000">
      <w:pPr>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五、基本支出：是指为保障机构正常运转、完成日常工作任务所必需的开支，其内容包括人员经费和日常公用经费两部分。</w:t>
      </w:r>
    </w:p>
    <w:p w14:paraId="3147EFE3" w14:textId="77777777" w:rsidR="00A147FF" w:rsidRDefault="00000000">
      <w:pPr>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六、项目支出：是指在基本支出之外，为完成特定的行政工作任务或事业发展目标所发生的支出。</w:t>
      </w:r>
    </w:p>
    <w:p w14:paraId="2FCAAA86" w14:textId="77777777" w:rsidR="00A147FF" w:rsidRDefault="00000000">
      <w:pPr>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七、“三公”经费：是指纳入省级财政预算管理，部门使</w:t>
      </w:r>
      <w:r>
        <w:rPr>
          <w:rFonts w:ascii="仿宋_GB2312" w:eastAsia="仿宋_GB2312" w:hAnsi="仿宋_GB2312" w:cs="仿宋_GB2312" w:hint="eastAsia"/>
          <w:sz w:val="32"/>
          <w:szCs w:val="32"/>
        </w:rPr>
        <w:lastRenderedPageBreak/>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CFC93B6" w14:textId="77777777" w:rsidR="00A147FF" w:rsidRDefault="00000000">
      <w:pPr>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0BB71B7" w14:textId="77777777" w:rsidR="00A147FF" w:rsidRDefault="00A147FF">
      <w:pPr>
        <w:ind w:firstLine="650"/>
        <w:rPr>
          <w:rFonts w:ascii="仿宋_GB2312" w:eastAsia="仿宋_GB2312" w:hAnsi="仿宋_GB2312" w:cs="仿宋_GB2312"/>
          <w:sz w:val="32"/>
          <w:szCs w:val="32"/>
        </w:rPr>
      </w:pPr>
    </w:p>
    <w:sectPr w:rsidR="00A147F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E380" w14:textId="77777777" w:rsidR="00C8446F" w:rsidRDefault="00C8446F">
      <w:r>
        <w:separator/>
      </w:r>
    </w:p>
  </w:endnote>
  <w:endnote w:type="continuationSeparator" w:id="0">
    <w:p w14:paraId="253DEEC3" w14:textId="77777777" w:rsidR="00C8446F" w:rsidRDefault="00C8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77DB" w14:textId="77777777" w:rsidR="00A147FF" w:rsidRDefault="00000000">
    <w:pPr>
      <w:pStyle w:val="a6"/>
    </w:pPr>
    <w:r>
      <w:rPr>
        <w:noProof/>
      </w:rPr>
      <mc:AlternateContent>
        <mc:Choice Requires="wps">
          <w:drawing>
            <wp:anchor distT="0" distB="0" distL="114300" distR="114300" simplePos="0" relativeHeight="251659264" behindDoc="0" locked="0" layoutInCell="1" allowOverlap="1" wp14:anchorId="707343A7" wp14:editId="10F75A6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54CBB4" w14:textId="77777777" w:rsidR="00A147FF"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7343A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C54CBB4" w14:textId="77777777" w:rsidR="00A147FF"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D21B" w14:textId="77777777" w:rsidR="00C8446F" w:rsidRDefault="00C8446F">
      <w:r>
        <w:separator/>
      </w:r>
    </w:p>
  </w:footnote>
  <w:footnote w:type="continuationSeparator" w:id="0">
    <w:p w14:paraId="658067A2" w14:textId="77777777" w:rsidR="00C8446F" w:rsidRDefault="00C8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CA6E0C"/>
    <w:multiLevelType w:val="singleLevel"/>
    <w:tmpl w:val="F1CA6E0C"/>
    <w:lvl w:ilvl="0">
      <w:start w:val="1"/>
      <w:numFmt w:val="chineseCounting"/>
      <w:suff w:val="nothing"/>
      <w:lvlText w:val="%1、"/>
      <w:lvlJc w:val="left"/>
      <w:pPr>
        <w:ind w:left="-10"/>
      </w:pPr>
      <w:rPr>
        <w:rFonts w:hint="eastAsia"/>
      </w:rPr>
    </w:lvl>
  </w:abstractNum>
  <w:abstractNum w:abstractNumId="1" w15:restartNumberingAfterBreak="0">
    <w:nsid w:val="4486FF4F"/>
    <w:multiLevelType w:val="singleLevel"/>
    <w:tmpl w:val="4486FF4F"/>
    <w:lvl w:ilvl="0">
      <w:start w:val="1"/>
      <w:numFmt w:val="chineseCounting"/>
      <w:suff w:val="nothing"/>
      <w:lvlText w:val="%1、"/>
      <w:lvlJc w:val="left"/>
      <w:pPr>
        <w:ind w:left="0" w:firstLine="420"/>
      </w:pPr>
      <w:rPr>
        <w:rFonts w:hint="eastAsia"/>
      </w:rPr>
    </w:lvl>
  </w:abstractNum>
  <w:abstractNum w:abstractNumId="2" w15:restartNumberingAfterBreak="0">
    <w:nsid w:val="56B6CFB3"/>
    <w:multiLevelType w:val="singleLevel"/>
    <w:tmpl w:val="56B6CFB3"/>
    <w:lvl w:ilvl="0">
      <w:start w:val="1"/>
      <w:numFmt w:val="chineseCounting"/>
      <w:suff w:val="space"/>
      <w:lvlText w:val="第%1部分"/>
      <w:lvlJc w:val="left"/>
      <w:rPr>
        <w:rFonts w:hint="eastAsia"/>
      </w:rPr>
    </w:lvl>
  </w:abstractNum>
  <w:abstractNum w:abstractNumId="3" w15:restartNumberingAfterBreak="0">
    <w:nsid w:val="608F26C8"/>
    <w:multiLevelType w:val="singleLevel"/>
    <w:tmpl w:val="608F26C8"/>
    <w:lvl w:ilvl="0">
      <w:start w:val="1"/>
      <w:numFmt w:val="decimal"/>
      <w:lvlText w:val="%1."/>
      <w:lvlJc w:val="left"/>
      <w:pPr>
        <w:tabs>
          <w:tab w:val="left" w:pos="312"/>
        </w:tabs>
        <w:ind w:left="-10"/>
      </w:pPr>
    </w:lvl>
  </w:abstractNum>
  <w:num w:numId="1" w16cid:durableId="462843551">
    <w:abstractNumId w:val="1"/>
  </w:num>
  <w:num w:numId="2" w16cid:durableId="565261838">
    <w:abstractNumId w:val="2"/>
  </w:num>
  <w:num w:numId="3" w16cid:durableId="156071500">
    <w:abstractNumId w:val="3"/>
  </w:num>
  <w:num w:numId="4" w16cid:durableId="23351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jYjE0NTUwOGFhYTJhMmViNzM1ZGZmNDgwMjRlYzMifQ=="/>
  </w:docVars>
  <w:rsids>
    <w:rsidRoot w:val="1A24482E"/>
    <w:rsid w:val="002B2EC4"/>
    <w:rsid w:val="00395FA3"/>
    <w:rsid w:val="004217DC"/>
    <w:rsid w:val="005A30F9"/>
    <w:rsid w:val="006A1328"/>
    <w:rsid w:val="00A147FF"/>
    <w:rsid w:val="00AE0E16"/>
    <w:rsid w:val="00C8446F"/>
    <w:rsid w:val="00EA435C"/>
    <w:rsid w:val="00F96D81"/>
    <w:rsid w:val="00FB484A"/>
    <w:rsid w:val="03AD7A8E"/>
    <w:rsid w:val="04BB565D"/>
    <w:rsid w:val="0BED3F09"/>
    <w:rsid w:val="13801BD1"/>
    <w:rsid w:val="18585B17"/>
    <w:rsid w:val="1A24482E"/>
    <w:rsid w:val="2117471F"/>
    <w:rsid w:val="225C036D"/>
    <w:rsid w:val="23EE3885"/>
    <w:rsid w:val="23FD2FAF"/>
    <w:rsid w:val="280049C5"/>
    <w:rsid w:val="304B1C93"/>
    <w:rsid w:val="3EBE3103"/>
    <w:rsid w:val="40814611"/>
    <w:rsid w:val="420B522B"/>
    <w:rsid w:val="54B74E6B"/>
    <w:rsid w:val="61E66BA5"/>
    <w:rsid w:val="660A0653"/>
    <w:rsid w:val="67277FC0"/>
    <w:rsid w:val="6CE81AB2"/>
    <w:rsid w:val="6E75306B"/>
    <w:rsid w:val="6F914858"/>
    <w:rsid w:val="719F3AB6"/>
    <w:rsid w:val="723279AD"/>
    <w:rsid w:val="77B37E99"/>
    <w:rsid w:val="7EBB07D4"/>
    <w:rsid w:val="7FD5D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07221"/>
  <w15:docId w15:val="{31464E6E-1D53-4C70-923C-D9F95789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qFormat/>
    <w:pPr>
      <w:ind w:firstLineChars="200" w:firstLine="420"/>
    </w:pPr>
  </w:style>
  <w:style w:type="paragraph" w:styleId="a3">
    <w:name w:val="Body Text Indent"/>
    <w:basedOn w:val="a"/>
    <w:uiPriority w:val="99"/>
    <w:unhideWhenUsed/>
    <w:qFormat/>
    <w:pPr>
      <w:ind w:leftChars="200" w:left="420"/>
    </w:pPr>
  </w:style>
  <w:style w:type="paragraph" w:styleId="a4">
    <w:name w:val="Body Text First Indent"/>
    <w:basedOn w:val="a5"/>
    <w:next w:val="a"/>
    <w:uiPriority w:val="99"/>
    <w:unhideWhenUsed/>
    <w:qFormat/>
    <w:pPr>
      <w:ind w:firstLineChars="100" w:firstLine="420"/>
    </w:pPr>
  </w:style>
  <w:style w:type="paragraph" w:styleId="a5">
    <w:name w:val="Body Text"/>
    <w:basedOn w:val="a"/>
    <w:next w:val="20"/>
    <w:qFormat/>
    <w:pPr>
      <w:spacing w:after="120"/>
    </w:pPr>
    <w:rPr>
      <w:rFonts w:eastAsia="仿宋_GB2312"/>
      <w:sz w:val="32"/>
      <w:szCs w:val="32"/>
    </w:rPr>
  </w:style>
  <w:style w:type="paragraph" w:styleId="20">
    <w:name w:val="Body Text 2"/>
    <w:basedOn w:val="a"/>
    <w:qFormat/>
    <w:pPr>
      <w:spacing w:after="120" w:line="480" w:lineRule="auto"/>
    </w:pPr>
    <w:rPr>
      <w:szCs w:val="21"/>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Autospacing="1" w:afterAutospacing="1"/>
      <w:jc w:val="left"/>
    </w:pPr>
    <w:rPr>
      <w:rFonts w:ascii="宋体" w:eastAsia="宋体" w:hAnsi="宋体" w:cs="Times New Roman" w:hint="eastAsia"/>
      <w:kern w:val="0"/>
      <w:sz w:val="24"/>
    </w:rPr>
  </w:style>
  <w:style w:type="character" w:styleId="a9">
    <w:name w:val="Strong"/>
    <w:basedOn w:val="a0"/>
    <w:qFormat/>
    <w:rPr>
      <w:b/>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小可爱</dc:creator>
  <cp:lastModifiedBy>Administrator</cp:lastModifiedBy>
  <cp:revision>5</cp:revision>
  <cp:lastPrinted>2021-03-04T17:45:00Z</cp:lastPrinted>
  <dcterms:created xsi:type="dcterms:W3CDTF">2023-09-25T08:42:00Z</dcterms:created>
  <dcterms:modified xsi:type="dcterms:W3CDTF">2023-09-28T02:47:00Z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F9227FBE13664BD38F5AD84920E5484F</vt:lpwstr>
  </property>
</Properties>
</file>