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7C7863">
      <w:pPr>
        <w:keepNext w:val="0"/>
        <w:keepLines w:val="0"/>
        <w:pageBreakBefore w:val="0"/>
        <w:widowControl w:val="0"/>
        <w:wordWrap/>
        <w:overflowPunct/>
        <w:topLinePunct w:val="0"/>
        <w:bidi w:val="0"/>
        <w:spacing w:line="560" w:lineRule="exact"/>
        <w:ind w:left="0" w:right="0"/>
        <w:jc w:val="both"/>
        <w:rPr>
          <w:rFonts w:ascii="Arial"/>
          <w:sz w:val="21"/>
        </w:rPr>
      </w:pPr>
    </w:p>
    <w:p w14:paraId="565CB239">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0"/>
        <w:jc w:val="center"/>
        <w:textAlignment w:val="baseline"/>
        <w:rPr>
          <w:rFonts w:hint="eastAsia" w:ascii="文星标宋" w:hAnsi="文星标宋" w:eastAsia="文星标宋" w:cs="文星标宋"/>
          <w:b w:val="0"/>
          <w:bCs w:val="0"/>
          <w:color w:val="auto"/>
          <w:spacing w:val="-23"/>
          <w:w w:val="98"/>
          <w:sz w:val="44"/>
          <w:szCs w:val="44"/>
          <w:highlight w:val="none"/>
          <w:lang w:eastAsia="zh-CN"/>
        </w:rPr>
      </w:pPr>
      <w:r>
        <w:rPr>
          <w:rFonts w:hint="default" w:ascii="Times New Roman" w:hAnsi="Times New Roman" w:eastAsia="文星标宋" w:cs="Times New Roman"/>
          <w:b w:val="0"/>
          <w:bCs w:val="0"/>
          <w:color w:val="auto"/>
          <w:spacing w:val="-23"/>
          <w:w w:val="98"/>
          <w:sz w:val="44"/>
          <w:szCs w:val="44"/>
          <w:highlight w:val="none"/>
          <w:lang w:eastAsia="zh-CN"/>
        </w:rPr>
        <w:t>2026</w:t>
      </w:r>
      <w:r>
        <w:rPr>
          <w:rFonts w:hint="eastAsia" w:ascii="文星标宋" w:hAnsi="文星标宋" w:eastAsia="文星标宋" w:cs="文星标宋"/>
          <w:b w:val="0"/>
          <w:bCs w:val="0"/>
          <w:color w:val="auto"/>
          <w:spacing w:val="-23"/>
          <w:w w:val="98"/>
          <w:sz w:val="44"/>
          <w:szCs w:val="44"/>
          <w:highlight w:val="none"/>
          <w:lang w:eastAsia="zh-CN"/>
        </w:rPr>
        <w:t>年三门峡市城乡一体化示范区</w:t>
      </w:r>
      <w:r>
        <w:rPr>
          <w:rFonts w:hint="eastAsia" w:ascii="文星标宋" w:hAnsi="文星标宋" w:eastAsia="文星标宋" w:cs="文星标宋"/>
          <w:b w:val="0"/>
          <w:bCs w:val="0"/>
          <w:color w:val="auto"/>
          <w:spacing w:val="-23"/>
          <w:w w:val="98"/>
          <w:sz w:val="44"/>
          <w:szCs w:val="44"/>
          <w:highlight w:val="none"/>
          <w:lang w:val="en-US" w:eastAsia="zh-CN"/>
        </w:rPr>
        <w:t>党政</w:t>
      </w:r>
      <w:r>
        <w:rPr>
          <w:rFonts w:hint="eastAsia" w:ascii="文星标宋" w:hAnsi="文星标宋" w:eastAsia="文星标宋" w:cs="文星标宋"/>
          <w:b w:val="0"/>
          <w:bCs w:val="0"/>
          <w:color w:val="auto"/>
          <w:spacing w:val="-23"/>
          <w:w w:val="98"/>
          <w:sz w:val="44"/>
          <w:szCs w:val="44"/>
          <w:highlight w:val="none"/>
          <w:lang w:eastAsia="zh-CN"/>
        </w:rPr>
        <w:t>办公室</w:t>
      </w:r>
    </w:p>
    <w:p w14:paraId="41DBA4F3">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0"/>
        <w:jc w:val="center"/>
        <w:textAlignment w:val="baseline"/>
        <w:rPr>
          <w:rFonts w:hint="eastAsia" w:ascii="黑体" w:hAnsi="黑体" w:eastAsia="黑体" w:cs="黑体"/>
          <w:b w:val="0"/>
          <w:bCs w:val="0"/>
          <w:color w:val="auto"/>
          <w:spacing w:val="-23"/>
          <w:w w:val="98"/>
          <w:sz w:val="46"/>
          <w:szCs w:val="46"/>
          <w:highlight w:val="none"/>
          <w:lang w:eastAsia="zh-CN"/>
        </w:rPr>
      </w:pPr>
      <w:r>
        <w:rPr>
          <w:rFonts w:hint="eastAsia" w:ascii="文星标宋" w:hAnsi="文星标宋" w:eastAsia="文星标宋" w:cs="文星标宋"/>
          <w:b w:val="0"/>
          <w:bCs w:val="0"/>
          <w:color w:val="auto"/>
          <w:spacing w:val="-23"/>
          <w:w w:val="98"/>
          <w:sz w:val="44"/>
          <w:szCs w:val="44"/>
          <w:highlight w:val="none"/>
          <w:lang w:eastAsia="zh-CN"/>
        </w:rPr>
        <w:t>预算公开</w:t>
      </w:r>
    </w:p>
    <w:p w14:paraId="0810C399">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0"/>
        <w:jc w:val="both"/>
        <w:textAlignment w:val="baseline"/>
        <w:rPr>
          <w:rFonts w:hint="eastAsia" w:ascii="黑体" w:hAnsi="黑体" w:eastAsia="黑体" w:cs="黑体"/>
          <w:b w:val="0"/>
          <w:bCs w:val="0"/>
          <w:color w:val="auto"/>
          <w:spacing w:val="-23"/>
          <w:w w:val="98"/>
          <w:sz w:val="46"/>
          <w:szCs w:val="46"/>
          <w:highlight w:val="none"/>
          <w:lang w:eastAsia="zh-CN"/>
        </w:rPr>
      </w:pPr>
    </w:p>
    <w:p w14:paraId="66779D7D">
      <w:pPr>
        <w:keepNext w:val="0"/>
        <w:keepLines w:val="0"/>
        <w:pageBreakBefore w:val="0"/>
        <w:widowControl w:val="0"/>
        <w:wordWrap/>
        <w:overflowPunct/>
        <w:topLinePunct w:val="0"/>
        <w:bidi w:val="0"/>
        <w:spacing w:line="560" w:lineRule="exact"/>
        <w:ind w:left="0" w:right="0"/>
        <w:jc w:val="center"/>
        <w:rPr>
          <w:rFonts w:ascii="黑体" w:hAnsi="黑体" w:eastAsia="黑体" w:cs="黑体"/>
          <w:sz w:val="44"/>
          <w:szCs w:val="44"/>
        </w:rPr>
      </w:pPr>
      <w:r>
        <w:rPr>
          <w:rFonts w:ascii="黑体" w:hAnsi="黑体" w:eastAsia="黑体" w:cs="黑体"/>
          <w:spacing w:val="-19"/>
          <w:sz w:val="44"/>
          <w:szCs w:val="44"/>
        </w:rPr>
        <w:t>目录</w:t>
      </w:r>
    </w:p>
    <w:p w14:paraId="176C34DF">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jc w:val="both"/>
        <w:textAlignment w:val="baseline"/>
        <w:rPr>
          <w:rFonts w:ascii="黑体" w:hAnsi="黑体" w:eastAsia="黑体" w:cs="黑体"/>
          <w:b w:val="0"/>
          <w:bCs w:val="0"/>
          <w:color w:val="auto"/>
          <w:spacing w:val="11"/>
          <w:sz w:val="32"/>
          <w:szCs w:val="32"/>
          <w:highlight w:val="none"/>
        </w:rPr>
      </w:pPr>
      <w:r>
        <w:rPr>
          <w:rFonts w:ascii="黑体" w:hAnsi="黑体" w:eastAsia="黑体" w:cs="黑体"/>
          <w:b w:val="0"/>
          <w:bCs w:val="0"/>
          <w:color w:val="auto"/>
          <w:spacing w:val="11"/>
          <w:sz w:val="32"/>
          <w:szCs w:val="32"/>
          <w:highlight w:val="none"/>
        </w:rPr>
        <w:t>第一部分三门峡市城乡一体化示范区</w:t>
      </w:r>
      <w:r>
        <w:rPr>
          <w:rFonts w:hint="eastAsia" w:ascii="黑体" w:hAnsi="黑体" w:eastAsia="黑体" w:cs="黑体"/>
          <w:b w:val="0"/>
          <w:bCs w:val="0"/>
          <w:color w:val="auto"/>
          <w:spacing w:val="11"/>
          <w:sz w:val="32"/>
          <w:szCs w:val="32"/>
          <w:highlight w:val="none"/>
          <w:lang w:val="en-US" w:eastAsia="zh-CN"/>
        </w:rPr>
        <w:t>党政</w:t>
      </w:r>
      <w:r>
        <w:rPr>
          <w:rFonts w:ascii="黑体" w:hAnsi="黑体" w:eastAsia="黑体" w:cs="黑体"/>
          <w:b w:val="0"/>
          <w:bCs w:val="0"/>
          <w:color w:val="auto"/>
          <w:spacing w:val="11"/>
          <w:sz w:val="32"/>
          <w:szCs w:val="32"/>
          <w:highlight w:val="none"/>
        </w:rPr>
        <w:t>办公室概况</w:t>
      </w:r>
    </w:p>
    <w:p w14:paraId="468CA752">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jc w:val="both"/>
        <w:textAlignment w:val="baseline"/>
        <w:rPr>
          <w:rFonts w:hint="eastAsia" w:ascii="仿宋_GB2312" w:hAnsi="仿宋_GB2312" w:eastAsia="仿宋_GB2312" w:cs="仿宋_GB2312"/>
          <w:b w:val="0"/>
          <w:bCs w:val="0"/>
          <w:color w:val="auto"/>
          <w:spacing w:val="7"/>
          <w:sz w:val="32"/>
          <w:szCs w:val="32"/>
          <w:highlight w:val="none"/>
        </w:rPr>
      </w:pPr>
      <w:r>
        <w:rPr>
          <w:rFonts w:hint="eastAsia" w:ascii="仿宋_GB2312" w:hAnsi="仿宋_GB2312" w:eastAsia="仿宋_GB2312" w:cs="仿宋_GB2312"/>
          <w:b w:val="0"/>
          <w:bCs w:val="0"/>
          <w:color w:val="auto"/>
          <w:spacing w:val="7"/>
          <w:sz w:val="32"/>
          <w:szCs w:val="32"/>
          <w:highlight w:val="none"/>
        </w:rPr>
        <w:t>一、主要职责</w:t>
      </w:r>
    </w:p>
    <w:p w14:paraId="2B882810">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jc w:val="both"/>
        <w:textAlignment w:val="baseline"/>
        <w:rPr>
          <w:rFonts w:hint="eastAsia" w:ascii="仿宋_GB2312" w:hAnsi="仿宋_GB2312" w:eastAsia="仿宋_GB2312" w:cs="仿宋_GB2312"/>
          <w:b w:val="0"/>
          <w:bCs w:val="0"/>
          <w:color w:val="auto"/>
          <w:spacing w:val="7"/>
          <w:sz w:val="32"/>
          <w:szCs w:val="32"/>
          <w:highlight w:val="none"/>
        </w:rPr>
      </w:pPr>
      <w:r>
        <w:rPr>
          <w:rFonts w:hint="eastAsia" w:ascii="仿宋_GB2312" w:hAnsi="仿宋_GB2312" w:eastAsia="仿宋_GB2312" w:cs="仿宋_GB2312"/>
          <w:b w:val="0"/>
          <w:bCs w:val="0"/>
          <w:color w:val="auto"/>
          <w:spacing w:val="7"/>
          <w:sz w:val="32"/>
          <w:szCs w:val="32"/>
          <w:highlight w:val="none"/>
        </w:rPr>
        <w:t>二、机构设置</w:t>
      </w:r>
    </w:p>
    <w:p w14:paraId="127043D2">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jc w:val="both"/>
        <w:textAlignment w:val="baseline"/>
        <w:rPr>
          <w:rFonts w:hint="eastAsia" w:ascii="仿宋_GB2312" w:hAnsi="仿宋_GB2312" w:eastAsia="仿宋_GB2312" w:cs="仿宋_GB2312"/>
          <w:b w:val="0"/>
          <w:bCs w:val="0"/>
          <w:color w:val="auto"/>
          <w:spacing w:val="7"/>
          <w:sz w:val="32"/>
          <w:szCs w:val="32"/>
          <w:highlight w:val="none"/>
        </w:rPr>
      </w:pPr>
      <w:r>
        <w:rPr>
          <w:rFonts w:hint="eastAsia" w:ascii="仿宋_GB2312" w:hAnsi="仿宋_GB2312" w:eastAsia="仿宋_GB2312" w:cs="仿宋_GB2312"/>
          <w:b w:val="0"/>
          <w:bCs w:val="0"/>
          <w:color w:val="auto"/>
          <w:spacing w:val="7"/>
          <w:sz w:val="32"/>
          <w:szCs w:val="32"/>
          <w:highlight w:val="none"/>
        </w:rPr>
        <w:t>三、部门所属预算单位构成情况</w:t>
      </w:r>
    </w:p>
    <w:p w14:paraId="12F03962">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jc w:val="both"/>
        <w:textAlignment w:val="baseline"/>
        <w:rPr>
          <w:rFonts w:ascii="黑体" w:hAnsi="黑体" w:eastAsia="黑体" w:cs="黑体"/>
          <w:b w:val="0"/>
          <w:bCs w:val="0"/>
          <w:color w:val="auto"/>
          <w:spacing w:val="11"/>
          <w:sz w:val="32"/>
          <w:szCs w:val="32"/>
          <w:highlight w:val="none"/>
        </w:rPr>
      </w:pPr>
      <w:r>
        <w:rPr>
          <w:rFonts w:ascii="黑体" w:hAnsi="黑体" w:eastAsia="黑体" w:cs="黑体"/>
          <w:b w:val="0"/>
          <w:bCs w:val="0"/>
          <w:color w:val="auto"/>
          <w:spacing w:val="11"/>
          <w:sz w:val="32"/>
          <w:szCs w:val="32"/>
          <w:highlight w:val="none"/>
        </w:rPr>
        <w:t>第二部分三门峡市城乡一体化示范区</w:t>
      </w:r>
      <w:r>
        <w:rPr>
          <w:rFonts w:hint="eastAsia" w:ascii="黑体" w:hAnsi="黑体" w:eastAsia="黑体" w:cs="黑体"/>
          <w:b w:val="0"/>
          <w:bCs w:val="0"/>
          <w:color w:val="auto"/>
          <w:spacing w:val="11"/>
          <w:sz w:val="32"/>
          <w:szCs w:val="32"/>
          <w:highlight w:val="none"/>
          <w:lang w:val="en-US" w:eastAsia="zh-CN"/>
        </w:rPr>
        <w:t>党政</w:t>
      </w:r>
      <w:r>
        <w:rPr>
          <w:rFonts w:ascii="黑体" w:hAnsi="黑体" w:eastAsia="黑体" w:cs="黑体"/>
          <w:b w:val="0"/>
          <w:bCs w:val="0"/>
          <w:color w:val="auto"/>
          <w:spacing w:val="11"/>
          <w:sz w:val="32"/>
          <w:szCs w:val="32"/>
          <w:highlight w:val="none"/>
        </w:rPr>
        <w:t>办公室</w:t>
      </w:r>
      <w:r>
        <w:rPr>
          <w:rFonts w:hint="eastAsia" w:ascii="黑体" w:hAnsi="黑体" w:eastAsia="黑体" w:cs="黑体"/>
          <w:b w:val="0"/>
          <w:bCs w:val="0"/>
          <w:color w:val="auto"/>
          <w:spacing w:val="11"/>
          <w:sz w:val="32"/>
          <w:szCs w:val="32"/>
          <w:highlight w:val="none"/>
          <w:lang w:eastAsia="zh-CN"/>
        </w:rPr>
        <w:t>2026</w:t>
      </w:r>
      <w:r>
        <w:rPr>
          <w:rFonts w:ascii="黑体" w:hAnsi="黑体" w:eastAsia="黑体" w:cs="黑体"/>
          <w:b w:val="0"/>
          <w:bCs w:val="0"/>
          <w:color w:val="auto"/>
          <w:spacing w:val="11"/>
          <w:sz w:val="32"/>
          <w:szCs w:val="32"/>
          <w:highlight w:val="none"/>
        </w:rPr>
        <w:t>年度部门预算情况说明</w:t>
      </w:r>
    </w:p>
    <w:p w14:paraId="42F87833">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jc w:val="both"/>
        <w:textAlignment w:val="baseline"/>
        <w:rPr>
          <w:rFonts w:ascii="黑体" w:hAnsi="黑体" w:eastAsia="黑体" w:cs="黑体"/>
          <w:b w:val="0"/>
          <w:bCs w:val="0"/>
          <w:color w:val="auto"/>
          <w:spacing w:val="11"/>
          <w:sz w:val="32"/>
          <w:szCs w:val="32"/>
          <w:highlight w:val="none"/>
        </w:rPr>
      </w:pPr>
      <w:r>
        <w:rPr>
          <w:rFonts w:ascii="黑体" w:hAnsi="黑体" w:eastAsia="黑体" w:cs="黑体"/>
          <w:b w:val="0"/>
          <w:bCs w:val="0"/>
          <w:color w:val="auto"/>
          <w:spacing w:val="11"/>
          <w:sz w:val="32"/>
          <w:szCs w:val="32"/>
          <w:highlight w:val="none"/>
        </w:rPr>
        <w:t>第三部分名词解释</w:t>
      </w:r>
    </w:p>
    <w:p w14:paraId="58434615">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jc w:val="both"/>
        <w:textAlignment w:val="baseline"/>
        <w:rPr>
          <w:rFonts w:ascii="黑体" w:hAnsi="黑体" w:eastAsia="黑体" w:cs="黑体"/>
          <w:b w:val="0"/>
          <w:bCs w:val="0"/>
          <w:color w:val="auto"/>
          <w:spacing w:val="11"/>
          <w:sz w:val="32"/>
          <w:szCs w:val="32"/>
          <w:highlight w:val="none"/>
        </w:rPr>
      </w:pPr>
      <w:r>
        <w:rPr>
          <w:rFonts w:ascii="黑体" w:hAnsi="黑体" w:eastAsia="黑体" w:cs="黑体"/>
          <w:b w:val="0"/>
          <w:bCs w:val="0"/>
          <w:color w:val="auto"/>
          <w:spacing w:val="11"/>
          <w:sz w:val="32"/>
          <w:szCs w:val="32"/>
          <w:highlight w:val="none"/>
        </w:rPr>
        <w:t>附件：三门峡市城乡一体化示范区</w:t>
      </w:r>
      <w:r>
        <w:rPr>
          <w:rFonts w:hint="eastAsia" w:ascii="黑体" w:hAnsi="黑体" w:eastAsia="黑体" w:cs="黑体"/>
          <w:b w:val="0"/>
          <w:bCs w:val="0"/>
          <w:color w:val="auto"/>
          <w:spacing w:val="11"/>
          <w:sz w:val="32"/>
          <w:szCs w:val="32"/>
          <w:highlight w:val="none"/>
          <w:lang w:val="en-US" w:eastAsia="zh-CN"/>
        </w:rPr>
        <w:t>党政</w:t>
      </w:r>
      <w:r>
        <w:rPr>
          <w:rFonts w:ascii="黑体" w:hAnsi="黑体" w:eastAsia="黑体" w:cs="黑体"/>
          <w:b w:val="0"/>
          <w:bCs w:val="0"/>
          <w:color w:val="auto"/>
          <w:spacing w:val="11"/>
          <w:sz w:val="32"/>
          <w:szCs w:val="32"/>
          <w:highlight w:val="none"/>
        </w:rPr>
        <w:t>办公室</w:t>
      </w:r>
      <w:r>
        <w:rPr>
          <w:rFonts w:hint="eastAsia" w:ascii="黑体" w:hAnsi="黑体" w:eastAsia="黑体" w:cs="黑体"/>
          <w:b w:val="0"/>
          <w:bCs w:val="0"/>
          <w:color w:val="auto"/>
          <w:spacing w:val="11"/>
          <w:sz w:val="32"/>
          <w:szCs w:val="32"/>
          <w:highlight w:val="none"/>
          <w:lang w:eastAsia="zh-CN"/>
        </w:rPr>
        <w:t>2026</w:t>
      </w:r>
      <w:r>
        <w:rPr>
          <w:rFonts w:ascii="黑体" w:hAnsi="黑体" w:eastAsia="黑体" w:cs="黑体"/>
          <w:b w:val="0"/>
          <w:bCs w:val="0"/>
          <w:color w:val="auto"/>
          <w:spacing w:val="11"/>
          <w:sz w:val="32"/>
          <w:szCs w:val="32"/>
          <w:highlight w:val="none"/>
        </w:rPr>
        <w:t>年度预算表</w:t>
      </w:r>
    </w:p>
    <w:p w14:paraId="46F59F38">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jc w:val="both"/>
        <w:textAlignment w:val="baseline"/>
        <w:rPr>
          <w:rFonts w:hint="eastAsia" w:ascii="仿宋_GB2312" w:hAnsi="仿宋_GB2312" w:eastAsia="仿宋_GB2312" w:cs="仿宋_GB2312"/>
          <w:b w:val="0"/>
          <w:bCs w:val="0"/>
          <w:color w:val="auto"/>
          <w:spacing w:val="7"/>
          <w:sz w:val="32"/>
          <w:szCs w:val="32"/>
          <w:highlight w:val="none"/>
        </w:rPr>
      </w:pPr>
      <w:r>
        <w:rPr>
          <w:rFonts w:hint="eastAsia" w:ascii="仿宋_GB2312" w:hAnsi="仿宋_GB2312" w:eastAsia="仿宋_GB2312" w:cs="仿宋_GB2312"/>
          <w:b w:val="0"/>
          <w:bCs w:val="0"/>
          <w:color w:val="auto"/>
          <w:spacing w:val="7"/>
          <w:sz w:val="32"/>
          <w:szCs w:val="32"/>
          <w:highlight w:val="none"/>
        </w:rPr>
        <w:t>一、单位收支总体情况表</w:t>
      </w:r>
    </w:p>
    <w:p w14:paraId="335BD541">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jc w:val="both"/>
        <w:textAlignment w:val="baseline"/>
        <w:rPr>
          <w:rFonts w:hint="eastAsia" w:ascii="仿宋_GB2312" w:hAnsi="仿宋_GB2312" w:eastAsia="仿宋_GB2312" w:cs="仿宋_GB2312"/>
          <w:b w:val="0"/>
          <w:bCs w:val="0"/>
          <w:color w:val="auto"/>
          <w:spacing w:val="7"/>
          <w:sz w:val="32"/>
          <w:szCs w:val="32"/>
          <w:highlight w:val="none"/>
        </w:rPr>
      </w:pPr>
      <w:r>
        <w:rPr>
          <w:rFonts w:hint="eastAsia" w:ascii="仿宋_GB2312" w:hAnsi="仿宋_GB2312" w:eastAsia="仿宋_GB2312" w:cs="仿宋_GB2312"/>
          <w:b w:val="0"/>
          <w:bCs w:val="0"/>
          <w:color w:val="auto"/>
          <w:spacing w:val="7"/>
          <w:sz w:val="32"/>
          <w:szCs w:val="32"/>
          <w:highlight w:val="none"/>
        </w:rPr>
        <w:t>二、单位收入总体情况表</w:t>
      </w:r>
    </w:p>
    <w:p w14:paraId="41DC8480">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jc w:val="both"/>
        <w:textAlignment w:val="baseline"/>
        <w:rPr>
          <w:rFonts w:hint="eastAsia" w:ascii="仿宋_GB2312" w:hAnsi="仿宋_GB2312" w:eastAsia="仿宋_GB2312" w:cs="仿宋_GB2312"/>
          <w:b w:val="0"/>
          <w:bCs w:val="0"/>
          <w:color w:val="auto"/>
          <w:spacing w:val="7"/>
          <w:sz w:val="32"/>
          <w:szCs w:val="32"/>
          <w:highlight w:val="none"/>
        </w:rPr>
      </w:pPr>
      <w:r>
        <w:rPr>
          <w:rFonts w:hint="eastAsia" w:ascii="仿宋_GB2312" w:hAnsi="仿宋_GB2312" w:eastAsia="仿宋_GB2312" w:cs="仿宋_GB2312"/>
          <w:b w:val="0"/>
          <w:bCs w:val="0"/>
          <w:color w:val="auto"/>
          <w:spacing w:val="7"/>
          <w:sz w:val="32"/>
          <w:szCs w:val="32"/>
          <w:highlight w:val="none"/>
        </w:rPr>
        <w:t>三、单位支出总体情况表</w:t>
      </w:r>
    </w:p>
    <w:p w14:paraId="6E8A3507">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jc w:val="both"/>
        <w:textAlignment w:val="baseline"/>
        <w:rPr>
          <w:rFonts w:hint="eastAsia" w:ascii="仿宋_GB2312" w:hAnsi="仿宋_GB2312" w:eastAsia="仿宋_GB2312" w:cs="仿宋_GB2312"/>
          <w:b w:val="0"/>
          <w:bCs w:val="0"/>
          <w:color w:val="auto"/>
          <w:spacing w:val="7"/>
          <w:sz w:val="32"/>
          <w:szCs w:val="32"/>
          <w:highlight w:val="none"/>
        </w:rPr>
      </w:pPr>
      <w:r>
        <w:rPr>
          <w:rFonts w:hint="eastAsia" w:ascii="仿宋_GB2312" w:hAnsi="仿宋_GB2312" w:eastAsia="仿宋_GB2312" w:cs="仿宋_GB2312"/>
          <w:b w:val="0"/>
          <w:bCs w:val="0"/>
          <w:color w:val="auto"/>
          <w:spacing w:val="7"/>
          <w:sz w:val="32"/>
          <w:szCs w:val="32"/>
          <w:highlight w:val="none"/>
        </w:rPr>
        <w:t>四、财政拨款收支总体情况表</w:t>
      </w:r>
    </w:p>
    <w:p w14:paraId="5BDFF3C1">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jc w:val="both"/>
        <w:textAlignment w:val="baseline"/>
        <w:rPr>
          <w:rFonts w:hint="eastAsia" w:ascii="仿宋_GB2312" w:hAnsi="仿宋_GB2312" w:eastAsia="仿宋_GB2312" w:cs="仿宋_GB2312"/>
          <w:b w:val="0"/>
          <w:bCs w:val="0"/>
          <w:color w:val="auto"/>
          <w:spacing w:val="7"/>
          <w:sz w:val="32"/>
          <w:szCs w:val="32"/>
          <w:highlight w:val="none"/>
        </w:rPr>
      </w:pPr>
      <w:r>
        <w:rPr>
          <w:rFonts w:hint="eastAsia" w:ascii="仿宋_GB2312" w:hAnsi="仿宋_GB2312" w:eastAsia="仿宋_GB2312" w:cs="仿宋_GB2312"/>
          <w:b w:val="0"/>
          <w:bCs w:val="0"/>
          <w:color w:val="auto"/>
          <w:spacing w:val="7"/>
          <w:sz w:val="32"/>
          <w:szCs w:val="32"/>
          <w:highlight w:val="none"/>
        </w:rPr>
        <w:t>五、一般公共预算支出情况表</w:t>
      </w:r>
    </w:p>
    <w:p w14:paraId="27F7A9FB">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jc w:val="both"/>
        <w:textAlignment w:val="baseline"/>
        <w:rPr>
          <w:rFonts w:hint="eastAsia" w:ascii="仿宋_GB2312" w:hAnsi="仿宋_GB2312" w:eastAsia="仿宋_GB2312" w:cs="仿宋_GB2312"/>
          <w:b w:val="0"/>
          <w:bCs w:val="0"/>
          <w:color w:val="auto"/>
          <w:spacing w:val="7"/>
          <w:sz w:val="32"/>
          <w:szCs w:val="32"/>
          <w:highlight w:val="none"/>
        </w:rPr>
      </w:pPr>
      <w:r>
        <w:rPr>
          <w:rFonts w:hint="eastAsia" w:ascii="仿宋_GB2312" w:hAnsi="仿宋_GB2312" w:eastAsia="仿宋_GB2312" w:cs="仿宋_GB2312"/>
          <w:b w:val="0"/>
          <w:bCs w:val="0"/>
          <w:color w:val="auto"/>
          <w:spacing w:val="7"/>
          <w:sz w:val="32"/>
          <w:szCs w:val="32"/>
          <w:highlight w:val="none"/>
        </w:rPr>
        <w:t>六、一般公共预算基本支出情况表</w:t>
      </w:r>
    </w:p>
    <w:p w14:paraId="01F5E9E3">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jc w:val="both"/>
        <w:textAlignment w:val="baseline"/>
        <w:rPr>
          <w:rFonts w:hint="eastAsia" w:ascii="仿宋_GB2312" w:hAnsi="仿宋_GB2312" w:eastAsia="仿宋_GB2312" w:cs="仿宋_GB2312"/>
          <w:b w:val="0"/>
          <w:bCs w:val="0"/>
          <w:color w:val="auto"/>
          <w:spacing w:val="7"/>
          <w:sz w:val="32"/>
          <w:szCs w:val="32"/>
          <w:highlight w:val="none"/>
        </w:rPr>
      </w:pPr>
      <w:r>
        <w:rPr>
          <w:rFonts w:hint="eastAsia" w:ascii="仿宋_GB2312" w:hAnsi="仿宋_GB2312" w:eastAsia="仿宋_GB2312" w:cs="仿宋_GB2312"/>
          <w:b w:val="0"/>
          <w:bCs w:val="0"/>
          <w:color w:val="auto"/>
          <w:spacing w:val="7"/>
          <w:sz w:val="32"/>
          <w:szCs w:val="32"/>
          <w:highlight w:val="none"/>
        </w:rPr>
        <w:t>七、支出经济分类汇总表</w:t>
      </w:r>
    </w:p>
    <w:p w14:paraId="37FF911D">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jc w:val="both"/>
        <w:textAlignment w:val="baseline"/>
        <w:rPr>
          <w:rFonts w:hint="eastAsia" w:ascii="仿宋_GB2312" w:hAnsi="仿宋_GB2312" w:eastAsia="仿宋_GB2312" w:cs="仿宋_GB2312"/>
          <w:b w:val="0"/>
          <w:bCs w:val="0"/>
          <w:color w:val="auto"/>
          <w:spacing w:val="7"/>
          <w:sz w:val="32"/>
          <w:szCs w:val="32"/>
          <w:highlight w:val="none"/>
        </w:rPr>
      </w:pPr>
      <w:r>
        <w:rPr>
          <w:rFonts w:hint="eastAsia" w:ascii="仿宋_GB2312" w:hAnsi="仿宋_GB2312" w:eastAsia="仿宋_GB2312" w:cs="仿宋_GB2312"/>
          <w:b w:val="0"/>
          <w:bCs w:val="0"/>
          <w:color w:val="auto"/>
          <w:spacing w:val="7"/>
          <w:sz w:val="32"/>
          <w:szCs w:val="32"/>
          <w:highlight w:val="none"/>
        </w:rPr>
        <w:t>八、一般公共预算“三公”经费支出情况表</w:t>
      </w:r>
    </w:p>
    <w:p w14:paraId="67B4B9C5">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jc w:val="both"/>
        <w:textAlignment w:val="baseline"/>
        <w:rPr>
          <w:rFonts w:hint="eastAsia" w:ascii="仿宋_GB2312" w:hAnsi="仿宋_GB2312" w:eastAsia="仿宋_GB2312" w:cs="仿宋_GB2312"/>
          <w:b w:val="0"/>
          <w:bCs w:val="0"/>
          <w:color w:val="auto"/>
          <w:spacing w:val="7"/>
          <w:sz w:val="32"/>
          <w:szCs w:val="32"/>
          <w:highlight w:val="none"/>
        </w:rPr>
      </w:pPr>
      <w:r>
        <w:rPr>
          <w:rFonts w:hint="eastAsia" w:ascii="仿宋_GB2312" w:hAnsi="仿宋_GB2312" w:eastAsia="仿宋_GB2312" w:cs="仿宋_GB2312"/>
          <w:b w:val="0"/>
          <w:bCs w:val="0"/>
          <w:color w:val="auto"/>
          <w:spacing w:val="7"/>
          <w:sz w:val="32"/>
          <w:szCs w:val="32"/>
          <w:highlight w:val="none"/>
        </w:rPr>
        <w:t>九、政府性基金预算支出情况表</w:t>
      </w:r>
    </w:p>
    <w:p w14:paraId="19E149E9">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jc w:val="both"/>
        <w:textAlignment w:val="baseline"/>
        <w:rPr>
          <w:rFonts w:hint="eastAsia" w:ascii="仿宋_GB2312" w:hAnsi="仿宋_GB2312" w:eastAsia="仿宋_GB2312" w:cs="仿宋_GB2312"/>
          <w:b w:val="0"/>
          <w:bCs w:val="0"/>
          <w:color w:val="auto"/>
          <w:spacing w:val="7"/>
          <w:sz w:val="32"/>
          <w:szCs w:val="32"/>
          <w:highlight w:val="none"/>
        </w:rPr>
      </w:pPr>
      <w:r>
        <w:rPr>
          <w:rFonts w:hint="eastAsia" w:ascii="仿宋_GB2312" w:hAnsi="仿宋_GB2312" w:eastAsia="仿宋_GB2312" w:cs="仿宋_GB2312"/>
          <w:b w:val="0"/>
          <w:bCs w:val="0"/>
          <w:color w:val="auto"/>
          <w:spacing w:val="7"/>
          <w:sz w:val="32"/>
          <w:szCs w:val="32"/>
          <w:highlight w:val="none"/>
        </w:rPr>
        <w:t>十、项目支出表</w:t>
      </w:r>
    </w:p>
    <w:p w14:paraId="4923A218">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jc w:val="both"/>
        <w:textAlignment w:val="baseline"/>
        <w:rPr>
          <w:rFonts w:ascii="Arial"/>
          <w:sz w:val="21"/>
        </w:rPr>
      </w:pPr>
      <w:r>
        <w:rPr>
          <w:rFonts w:hint="eastAsia" w:ascii="仿宋_GB2312" w:hAnsi="仿宋_GB2312" w:eastAsia="仿宋_GB2312" w:cs="仿宋_GB2312"/>
          <w:b w:val="0"/>
          <w:bCs w:val="0"/>
          <w:color w:val="auto"/>
          <w:spacing w:val="7"/>
          <w:sz w:val="32"/>
          <w:szCs w:val="32"/>
          <w:highlight w:val="none"/>
        </w:rPr>
        <w:t>十一、单位预算项目绩效目标汇总表</w:t>
      </w:r>
      <w:r>
        <w:rPr>
          <w:rFonts w:ascii="仿宋" w:hAnsi="仿宋" w:eastAsia="仿宋" w:cs="仿宋"/>
          <w:b w:val="0"/>
          <w:bCs w:val="0"/>
          <w:color w:val="auto"/>
          <w:spacing w:val="7"/>
          <w:sz w:val="31"/>
          <w:szCs w:val="31"/>
          <w:highlight w:val="none"/>
        </w:rPr>
        <w:br w:type="page"/>
      </w:r>
    </w:p>
    <w:p w14:paraId="2FE381E2">
      <w:pPr>
        <w:keepNext w:val="0"/>
        <w:keepLines w:val="0"/>
        <w:pageBreakBefore w:val="0"/>
        <w:widowControl w:val="0"/>
        <w:wordWrap/>
        <w:overflowPunct/>
        <w:topLinePunct w:val="0"/>
        <w:bidi w:val="0"/>
        <w:spacing w:line="560" w:lineRule="exact"/>
        <w:ind w:left="0" w:right="0"/>
        <w:jc w:val="center"/>
        <w:rPr>
          <w:rFonts w:ascii="黑体" w:hAnsi="黑体" w:eastAsia="黑体" w:cs="黑体"/>
          <w:sz w:val="32"/>
          <w:szCs w:val="32"/>
        </w:rPr>
      </w:pPr>
      <w:r>
        <w:rPr>
          <w:rFonts w:ascii="黑体" w:hAnsi="黑体" w:eastAsia="黑体" w:cs="黑体"/>
          <w:spacing w:val="2"/>
          <w:sz w:val="32"/>
          <w:szCs w:val="32"/>
        </w:rPr>
        <w:t>第一部分</w:t>
      </w:r>
    </w:p>
    <w:p w14:paraId="072B3E85">
      <w:pPr>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704" w:firstLineChars="200"/>
        <w:jc w:val="center"/>
        <w:textAlignment w:val="baseline"/>
        <w:rPr>
          <w:rFonts w:ascii="黑体" w:hAnsi="黑体" w:eastAsia="黑体" w:cs="黑体"/>
          <w:sz w:val="30"/>
          <w:szCs w:val="30"/>
        </w:rPr>
      </w:pPr>
      <w:r>
        <w:rPr>
          <w:rFonts w:ascii="黑体" w:hAnsi="黑体" w:eastAsia="黑体" w:cs="黑体"/>
          <w:spacing w:val="26"/>
          <w:sz w:val="30"/>
          <w:szCs w:val="30"/>
        </w:rPr>
        <w:t>三门峡市城乡一体化示范区</w:t>
      </w:r>
      <w:r>
        <w:rPr>
          <w:rFonts w:hint="eastAsia" w:ascii="黑体" w:hAnsi="黑体" w:eastAsia="黑体" w:cs="黑体"/>
          <w:spacing w:val="26"/>
          <w:sz w:val="30"/>
          <w:szCs w:val="30"/>
          <w:lang w:val="en-US" w:eastAsia="zh-CN"/>
        </w:rPr>
        <w:t>党政</w:t>
      </w:r>
      <w:r>
        <w:rPr>
          <w:rFonts w:ascii="黑体" w:hAnsi="黑体" w:eastAsia="黑体" w:cs="黑体"/>
          <w:spacing w:val="26"/>
          <w:sz w:val="30"/>
          <w:szCs w:val="30"/>
        </w:rPr>
        <w:t>办公室概况</w:t>
      </w:r>
    </w:p>
    <w:p w14:paraId="3612BDC8">
      <w:pPr>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24" w:firstLineChars="200"/>
        <w:jc w:val="both"/>
        <w:textAlignment w:val="baseline"/>
        <w:rPr>
          <w:rFonts w:ascii="黑体" w:hAnsi="黑体" w:eastAsia="黑体" w:cs="黑体"/>
          <w:sz w:val="32"/>
          <w:szCs w:val="32"/>
        </w:rPr>
      </w:pPr>
      <w:r>
        <w:rPr>
          <w:rFonts w:ascii="黑体" w:hAnsi="黑体" w:eastAsia="黑体" w:cs="黑体"/>
          <w:spacing w:val="-4"/>
          <w:sz w:val="32"/>
          <w:szCs w:val="32"/>
        </w:rPr>
        <w:t>一、主要职责</w:t>
      </w:r>
    </w:p>
    <w:p w14:paraId="5D1B9EF3">
      <w:pPr>
        <w:keepNext w:val="0"/>
        <w:keepLines w:val="0"/>
        <w:pageBreakBefore w:val="0"/>
        <w:widowControl w:val="0"/>
        <w:kinsoku/>
        <w:wordWrap/>
        <w:overflowPunct/>
        <w:topLinePunct w:val="0"/>
        <w:autoSpaceDE/>
        <w:autoSpaceDN/>
        <w:bidi w:val="0"/>
        <w:adjustRightInd/>
        <w:snapToGrid/>
        <w:spacing w:line="560" w:lineRule="exact"/>
        <w:ind w:left="0" w:right="0" w:firstLine="640"/>
        <w:jc w:val="both"/>
        <w:textAlignment w:val="auto"/>
        <w:rPr>
          <w:rFonts w:hint="eastAsia" w:ascii="仿宋_GB2312" w:hAnsi="Calibri" w:eastAsia="仿宋_GB2312" w:cs="Times New Roman"/>
          <w:snapToGrid/>
          <w:kern w:val="2"/>
          <w:sz w:val="32"/>
          <w:szCs w:val="32"/>
          <w:highlight w:val="none"/>
          <w:lang w:val="en-US" w:eastAsia="zh-CN" w:bidi="ar-SA"/>
        </w:rPr>
      </w:pPr>
      <w:r>
        <w:rPr>
          <w:rFonts w:hint="eastAsia" w:ascii="仿宋_GB2312" w:hAnsi="Calibri" w:eastAsia="仿宋_GB2312" w:cs="Times New Roman"/>
          <w:snapToGrid/>
          <w:kern w:val="2"/>
          <w:sz w:val="32"/>
          <w:szCs w:val="32"/>
          <w:highlight w:val="none"/>
          <w:lang w:val="en-US" w:eastAsia="zh-CN" w:bidi="ar-SA"/>
        </w:rPr>
        <w:t>三门峡市城乡一体化示范区党政办公室的主要职责是：</w:t>
      </w:r>
    </w:p>
    <w:p w14:paraId="2FFB212A">
      <w:pPr>
        <w:keepNext w:val="0"/>
        <w:keepLines w:val="0"/>
        <w:pageBreakBefore w:val="0"/>
        <w:widowControl w:val="0"/>
        <w:kinsoku/>
        <w:wordWrap/>
        <w:overflowPunct/>
        <w:topLinePunct w:val="0"/>
        <w:autoSpaceDE/>
        <w:autoSpaceDN/>
        <w:bidi w:val="0"/>
        <w:adjustRightInd/>
        <w:snapToGrid/>
        <w:spacing w:line="560" w:lineRule="exact"/>
        <w:ind w:left="0" w:right="0" w:firstLine="640"/>
        <w:jc w:val="both"/>
        <w:textAlignment w:val="auto"/>
        <w:rPr>
          <w:rFonts w:hint="eastAsia" w:ascii="仿宋_GB2312" w:hAnsi="Calibri" w:eastAsia="仿宋_GB2312" w:cs="Times New Roman"/>
          <w:snapToGrid/>
          <w:kern w:val="2"/>
          <w:sz w:val="32"/>
          <w:szCs w:val="32"/>
          <w:highlight w:val="none"/>
          <w:lang w:val="en-US" w:eastAsia="zh-CN" w:bidi="ar-SA"/>
        </w:rPr>
      </w:pPr>
      <w:r>
        <w:rPr>
          <w:rFonts w:hint="eastAsia" w:ascii="仿宋_GB2312" w:hAnsi="Calibri" w:eastAsia="仿宋_GB2312" w:cs="Times New Roman"/>
          <w:snapToGrid/>
          <w:kern w:val="2"/>
          <w:sz w:val="32"/>
          <w:szCs w:val="32"/>
          <w:highlight w:val="none"/>
          <w:lang w:val="en-US" w:eastAsia="zh-CN" w:bidi="ar-SA"/>
        </w:rPr>
        <w:t>负责示范区（高新区）党工委、管委会机关日常运转工作；承担信息宣传、文电会务、机要保密、档案资料、政务信息化、党务政务公开、公务接待等工作；</w:t>
      </w:r>
    </w:p>
    <w:p w14:paraId="75E0163C">
      <w:pPr>
        <w:keepNext w:val="0"/>
        <w:keepLines w:val="0"/>
        <w:pageBreakBefore w:val="0"/>
        <w:widowControl w:val="0"/>
        <w:kinsoku/>
        <w:wordWrap/>
        <w:overflowPunct/>
        <w:topLinePunct w:val="0"/>
        <w:autoSpaceDE/>
        <w:autoSpaceDN/>
        <w:bidi w:val="0"/>
        <w:adjustRightInd/>
        <w:snapToGrid/>
        <w:spacing w:line="560" w:lineRule="exact"/>
        <w:ind w:left="0" w:right="0" w:firstLine="640"/>
        <w:jc w:val="both"/>
        <w:textAlignment w:val="auto"/>
        <w:rPr>
          <w:rFonts w:hint="eastAsia" w:ascii="仿宋_GB2312" w:hAnsi="Calibri" w:eastAsia="仿宋_GB2312" w:cs="Times New Roman"/>
          <w:snapToGrid/>
          <w:kern w:val="2"/>
          <w:sz w:val="32"/>
          <w:szCs w:val="32"/>
          <w:highlight w:val="none"/>
          <w:lang w:val="en-US" w:eastAsia="zh-CN" w:bidi="ar-SA"/>
        </w:rPr>
      </w:pPr>
      <w:r>
        <w:rPr>
          <w:rFonts w:hint="eastAsia" w:ascii="仿宋_GB2312" w:hAnsi="Calibri" w:eastAsia="仿宋_GB2312" w:cs="Times New Roman"/>
          <w:snapToGrid/>
          <w:kern w:val="2"/>
          <w:sz w:val="32"/>
          <w:szCs w:val="32"/>
          <w:highlight w:val="none"/>
          <w:lang w:val="en-US" w:eastAsia="zh-CN" w:bidi="ar-SA"/>
        </w:rPr>
        <w:t>承担督查督办、政策研究、法律服务、普法宣传等工作；</w:t>
      </w:r>
    </w:p>
    <w:p w14:paraId="183EAC21">
      <w:pPr>
        <w:keepNext w:val="0"/>
        <w:keepLines w:val="0"/>
        <w:pageBreakBefore w:val="0"/>
        <w:widowControl w:val="0"/>
        <w:kinsoku/>
        <w:wordWrap/>
        <w:overflowPunct/>
        <w:topLinePunct w:val="0"/>
        <w:autoSpaceDE/>
        <w:autoSpaceDN/>
        <w:bidi w:val="0"/>
        <w:adjustRightInd/>
        <w:snapToGrid/>
        <w:spacing w:line="560" w:lineRule="exact"/>
        <w:ind w:left="0" w:right="0" w:firstLine="640"/>
        <w:jc w:val="both"/>
        <w:textAlignment w:val="auto"/>
        <w:rPr>
          <w:rFonts w:hint="eastAsia" w:ascii="仿宋_GB2312" w:hAnsi="Calibri" w:eastAsia="仿宋_GB2312" w:cs="Times New Roman"/>
          <w:snapToGrid/>
          <w:kern w:val="2"/>
          <w:sz w:val="32"/>
          <w:szCs w:val="32"/>
          <w:highlight w:val="none"/>
          <w:lang w:val="en-US" w:eastAsia="zh-CN" w:bidi="ar-SA"/>
        </w:rPr>
      </w:pPr>
      <w:r>
        <w:rPr>
          <w:rFonts w:hint="eastAsia" w:ascii="仿宋_GB2312" w:hAnsi="Calibri" w:eastAsia="仿宋_GB2312" w:cs="Times New Roman"/>
          <w:snapToGrid/>
          <w:kern w:val="2"/>
          <w:sz w:val="32"/>
          <w:szCs w:val="32"/>
          <w:highlight w:val="none"/>
          <w:lang w:val="en-US" w:eastAsia="zh-CN" w:bidi="ar-SA"/>
        </w:rPr>
        <w:t>负责统一战线和人大政协联络工作；</w:t>
      </w:r>
    </w:p>
    <w:p w14:paraId="34EECB59">
      <w:pPr>
        <w:keepNext w:val="0"/>
        <w:keepLines w:val="0"/>
        <w:pageBreakBefore w:val="0"/>
        <w:widowControl w:val="0"/>
        <w:kinsoku/>
        <w:wordWrap/>
        <w:overflowPunct/>
        <w:topLinePunct w:val="0"/>
        <w:autoSpaceDE/>
        <w:autoSpaceDN/>
        <w:bidi w:val="0"/>
        <w:adjustRightInd/>
        <w:snapToGrid/>
        <w:spacing w:line="560" w:lineRule="exact"/>
        <w:ind w:left="0" w:right="0" w:firstLine="640"/>
        <w:jc w:val="both"/>
        <w:textAlignment w:val="auto"/>
        <w:rPr>
          <w:rFonts w:hint="eastAsia" w:ascii="仿宋_GB2312" w:hAnsi="Calibri" w:eastAsia="仿宋_GB2312" w:cs="Times New Roman"/>
          <w:snapToGrid/>
          <w:kern w:val="2"/>
          <w:sz w:val="32"/>
          <w:szCs w:val="32"/>
          <w:highlight w:val="none"/>
          <w:lang w:val="en-US" w:eastAsia="zh-CN" w:bidi="ar-SA"/>
        </w:rPr>
      </w:pPr>
      <w:r>
        <w:rPr>
          <w:rFonts w:hint="eastAsia" w:ascii="仿宋_GB2312" w:hAnsi="Calibri" w:eastAsia="仿宋_GB2312" w:cs="Times New Roman"/>
          <w:snapToGrid/>
          <w:kern w:val="2"/>
          <w:sz w:val="32"/>
          <w:szCs w:val="32"/>
          <w:highlight w:val="none"/>
          <w:lang w:val="en-US" w:eastAsia="zh-CN" w:bidi="ar-SA"/>
        </w:rPr>
        <w:t>负责社会治安综合治理、信访稳定等工作；</w:t>
      </w:r>
    </w:p>
    <w:p w14:paraId="5205805E">
      <w:pPr>
        <w:keepNext w:val="0"/>
        <w:keepLines w:val="0"/>
        <w:pageBreakBefore w:val="0"/>
        <w:widowControl w:val="0"/>
        <w:kinsoku/>
        <w:wordWrap/>
        <w:overflowPunct/>
        <w:topLinePunct w:val="0"/>
        <w:autoSpaceDE/>
        <w:autoSpaceDN/>
        <w:bidi w:val="0"/>
        <w:adjustRightInd/>
        <w:snapToGrid/>
        <w:spacing w:line="560" w:lineRule="exact"/>
        <w:ind w:left="0" w:right="0" w:firstLine="640"/>
        <w:jc w:val="both"/>
        <w:textAlignment w:val="auto"/>
        <w:rPr>
          <w:rFonts w:hint="eastAsia" w:ascii="仿宋_GB2312" w:hAnsi="Calibri" w:eastAsia="仿宋_GB2312" w:cs="Times New Roman"/>
          <w:snapToGrid/>
          <w:kern w:val="2"/>
          <w:sz w:val="32"/>
          <w:szCs w:val="32"/>
          <w:highlight w:val="none"/>
          <w:lang w:val="en-US" w:eastAsia="zh-CN" w:bidi="ar-SA"/>
        </w:rPr>
      </w:pPr>
      <w:r>
        <w:rPr>
          <w:rFonts w:hint="eastAsia" w:ascii="仿宋_GB2312" w:hAnsi="Calibri" w:eastAsia="仿宋_GB2312" w:cs="Times New Roman"/>
          <w:snapToGrid/>
          <w:kern w:val="2"/>
          <w:sz w:val="32"/>
          <w:szCs w:val="32"/>
          <w:highlight w:val="none"/>
          <w:lang w:val="en-US" w:eastAsia="zh-CN" w:bidi="ar-SA"/>
        </w:rPr>
        <w:t>完成示范区（高新区）党工委、管委会交办的其他任务。</w:t>
      </w:r>
    </w:p>
    <w:p w14:paraId="4FFE8D96">
      <w:pPr>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24" w:firstLineChars="200"/>
        <w:jc w:val="both"/>
        <w:textAlignment w:val="baseline"/>
        <w:rPr>
          <w:rFonts w:hint="eastAsia" w:ascii="黑体" w:hAnsi="黑体" w:eastAsia="黑体" w:cs="黑体"/>
          <w:spacing w:val="-4"/>
          <w:sz w:val="32"/>
          <w:szCs w:val="32"/>
          <w:lang w:val="en-US" w:eastAsia="zh-CN"/>
        </w:rPr>
      </w:pPr>
      <w:r>
        <w:rPr>
          <w:rFonts w:hint="eastAsia" w:ascii="黑体" w:hAnsi="黑体" w:eastAsia="黑体" w:cs="黑体"/>
          <w:spacing w:val="-4"/>
          <w:sz w:val="32"/>
          <w:szCs w:val="32"/>
          <w:lang w:val="en-US" w:eastAsia="zh-CN"/>
        </w:rPr>
        <w:t>二、机构设置</w:t>
      </w:r>
    </w:p>
    <w:p w14:paraId="287BF1F0">
      <w:pPr>
        <w:keepNext w:val="0"/>
        <w:keepLines w:val="0"/>
        <w:pageBreakBefore w:val="0"/>
        <w:widowControl w:val="0"/>
        <w:kinsoku/>
        <w:wordWrap/>
        <w:overflowPunct/>
        <w:topLinePunct w:val="0"/>
        <w:autoSpaceDE/>
        <w:autoSpaceDN/>
        <w:bidi w:val="0"/>
        <w:adjustRightInd/>
        <w:snapToGrid/>
        <w:spacing w:line="560" w:lineRule="exact"/>
        <w:ind w:left="0" w:right="0" w:firstLine="640"/>
        <w:jc w:val="both"/>
        <w:textAlignment w:val="auto"/>
        <w:rPr>
          <w:rFonts w:hint="eastAsia" w:ascii="仿宋_GB2312" w:hAnsi="Calibri" w:eastAsia="仿宋_GB2312" w:cs="Times New Roman"/>
          <w:snapToGrid/>
          <w:kern w:val="2"/>
          <w:sz w:val="32"/>
          <w:szCs w:val="32"/>
          <w:highlight w:val="none"/>
          <w:lang w:val="en-US" w:eastAsia="zh-CN" w:bidi="ar-SA"/>
        </w:rPr>
      </w:pPr>
      <w:r>
        <w:rPr>
          <w:rFonts w:hint="eastAsia" w:ascii="仿宋_GB2312" w:hAnsi="Calibri" w:eastAsia="仿宋_GB2312" w:cs="Times New Roman"/>
          <w:snapToGrid/>
          <w:kern w:val="2"/>
          <w:sz w:val="32"/>
          <w:szCs w:val="32"/>
          <w:highlight w:val="none"/>
          <w:lang w:val="en-US" w:eastAsia="zh-CN" w:bidi="ar-SA"/>
        </w:rPr>
        <w:t>本部门内设机构8个，分别为：秘书科、督查科、信息科、财务科、文电科、会务科、机关后勤事务管理中心、综治办。</w:t>
      </w:r>
    </w:p>
    <w:p w14:paraId="51EF19E9">
      <w:pPr>
        <w:keepNext w:val="0"/>
        <w:keepLines w:val="0"/>
        <w:pageBreakBefore w:val="0"/>
        <w:widowControl w:val="0"/>
        <w:wordWrap/>
        <w:overflowPunct/>
        <w:topLinePunct w:val="0"/>
        <w:bidi w:val="0"/>
        <w:spacing w:line="560" w:lineRule="exact"/>
        <w:ind w:left="0" w:right="0" w:firstLine="630"/>
        <w:jc w:val="both"/>
        <w:rPr>
          <w:rFonts w:ascii="黑体" w:hAnsi="黑体" w:eastAsia="黑体" w:cs="黑体"/>
          <w:sz w:val="32"/>
          <w:szCs w:val="32"/>
        </w:rPr>
      </w:pPr>
      <w:r>
        <w:rPr>
          <w:rFonts w:ascii="黑体" w:hAnsi="黑体" w:eastAsia="黑体" w:cs="黑体"/>
          <w:spacing w:val="-1"/>
          <w:sz w:val="32"/>
          <w:szCs w:val="32"/>
        </w:rPr>
        <w:t>三、</w:t>
      </w:r>
      <w:r>
        <w:rPr>
          <w:rFonts w:hint="eastAsia" w:ascii="黑体" w:hAnsi="黑体" w:eastAsia="黑体" w:cs="黑体"/>
          <w:spacing w:val="-1"/>
          <w:sz w:val="32"/>
          <w:szCs w:val="32"/>
          <w:lang w:val="en-US" w:eastAsia="zh-CN"/>
        </w:rPr>
        <w:t>部门所属</w:t>
      </w:r>
      <w:r>
        <w:rPr>
          <w:rFonts w:ascii="黑体" w:hAnsi="黑体" w:eastAsia="黑体" w:cs="黑体"/>
          <w:spacing w:val="-1"/>
          <w:sz w:val="32"/>
          <w:szCs w:val="32"/>
        </w:rPr>
        <w:t>预算单位构成情</w:t>
      </w:r>
      <w:r>
        <w:rPr>
          <w:rFonts w:ascii="黑体" w:hAnsi="黑体" w:eastAsia="黑体" w:cs="黑体"/>
          <w:sz w:val="32"/>
          <w:szCs w:val="32"/>
        </w:rPr>
        <w:t>况</w:t>
      </w:r>
    </w:p>
    <w:p w14:paraId="79141EF3">
      <w:pPr>
        <w:keepNext w:val="0"/>
        <w:keepLines w:val="0"/>
        <w:pageBreakBefore w:val="0"/>
        <w:widowControl w:val="0"/>
        <w:kinsoku/>
        <w:wordWrap/>
        <w:overflowPunct/>
        <w:topLinePunct w:val="0"/>
        <w:autoSpaceDE/>
        <w:autoSpaceDN/>
        <w:bidi w:val="0"/>
        <w:adjustRightInd/>
        <w:snapToGrid/>
        <w:spacing w:line="560" w:lineRule="exact"/>
        <w:ind w:left="0" w:right="0" w:firstLine="640"/>
        <w:jc w:val="both"/>
        <w:textAlignment w:val="auto"/>
        <w:rPr>
          <w:rFonts w:hint="eastAsia" w:ascii="仿宋_GB2312" w:hAnsi="Calibri" w:eastAsia="仿宋_GB2312" w:cs="Times New Roman"/>
          <w:snapToGrid/>
          <w:kern w:val="2"/>
          <w:sz w:val="32"/>
          <w:szCs w:val="32"/>
          <w:highlight w:val="none"/>
          <w:lang w:val="en-US" w:eastAsia="zh-CN" w:bidi="ar-SA"/>
        </w:rPr>
      </w:pPr>
      <w:r>
        <w:rPr>
          <w:rFonts w:hint="eastAsia" w:ascii="仿宋_GB2312" w:hAnsi="Calibri" w:eastAsia="仿宋_GB2312" w:cs="Times New Roman"/>
          <w:snapToGrid/>
          <w:kern w:val="2"/>
          <w:sz w:val="32"/>
          <w:szCs w:val="32"/>
          <w:highlight w:val="none"/>
          <w:lang w:val="en-US" w:eastAsia="zh-CN" w:bidi="ar-SA"/>
        </w:rPr>
        <w:t>本预算为三门峡市城乡一体化示范区党政办公室预算。</w:t>
      </w:r>
    </w:p>
    <w:p w14:paraId="51C20318">
      <w:pPr>
        <w:keepNext w:val="0"/>
        <w:keepLines w:val="0"/>
        <w:pageBreakBefore w:val="0"/>
        <w:widowControl w:val="0"/>
        <w:wordWrap/>
        <w:overflowPunct/>
        <w:topLinePunct w:val="0"/>
        <w:bidi w:val="0"/>
        <w:spacing w:line="560" w:lineRule="exact"/>
        <w:ind w:left="0" w:right="0"/>
        <w:jc w:val="both"/>
        <w:sectPr>
          <w:pgSz w:w="12220" w:h="17040"/>
          <w:pgMar w:top="1440" w:right="1800" w:bottom="1440" w:left="1800" w:header="0" w:footer="0" w:gutter="0"/>
          <w:cols w:space="720" w:num="1"/>
        </w:sectPr>
      </w:pPr>
    </w:p>
    <w:p w14:paraId="79D525EA">
      <w:pPr>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0" w:firstLineChars="0"/>
        <w:jc w:val="center"/>
        <w:textAlignment w:val="baseline"/>
        <w:rPr>
          <w:rFonts w:hint="eastAsia" w:ascii="黑体" w:hAnsi="黑体" w:eastAsia="黑体" w:cs="黑体"/>
          <w:spacing w:val="7"/>
          <w:sz w:val="32"/>
          <w:szCs w:val="32"/>
          <w:lang w:val="en-US" w:eastAsia="zh-CN"/>
        </w:rPr>
      </w:pPr>
      <w:r>
        <w:rPr>
          <w:rFonts w:hint="eastAsia" w:ascii="黑体" w:hAnsi="黑体" w:eastAsia="黑体" w:cs="黑体"/>
          <w:spacing w:val="7"/>
          <w:sz w:val="32"/>
          <w:szCs w:val="32"/>
          <w:lang w:val="en-US" w:eastAsia="zh-CN"/>
        </w:rPr>
        <w:t>第二部分</w:t>
      </w:r>
    </w:p>
    <w:p w14:paraId="27E6E91D">
      <w:pPr>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0" w:firstLineChars="0"/>
        <w:jc w:val="center"/>
        <w:textAlignment w:val="baseline"/>
        <w:rPr>
          <w:rFonts w:ascii="黑体" w:hAnsi="黑体" w:eastAsia="黑体" w:cs="黑体"/>
          <w:spacing w:val="7"/>
          <w:sz w:val="32"/>
          <w:szCs w:val="32"/>
        </w:rPr>
      </w:pPr>
      <w:r>
        <w:rPr>
          <w:rFonts w:ascii="黑体" w:hAnsi="黑体" w:eastAsia="黑体" w:cs="黑体"/>
          <w:spacing w:val="7"/>
          <w:sz w:val="32"/>
          <w:szCs w:val="32"/>
        </w:rPr>
        <w:t>三门峡市城乡一体化示范区</w:t>
      </w:r>
      <w:r>
        <w:rPr>
          <w:rFonts w:hint="eastAsia" w:ascii="黑体" w:hAnsi="黑体" w:eastAsia="黑体" w:cs="黑体"/>
          <w:spacing w:val="7"/>
          <w:sz w:val="32"/>
          <w:szCs w:val="32"/>
          <w:lang w:val="en-US" w:eastAsia="zh-CN"/>
        </w:rPr>
        <w:t>党政</w:t>
      </w:r>
      <w:r>
        <w:rPr>
          <w:rFonts w:ascii="黑体" w:hAnsi="黑体" w:eastAsia="黑体" w:cs="黑体"/>
          <w:spacing w:val="7"/>
          <w:sz w:val="32"/>
          <w:szCs w:val="32"/>
        </w:rPr>
        <w:t>办公室</w:t>
      </w:r>
      <w:r>
        <w:rPr>
          <w:rFonts w:hint="eastAsia" w:ascii="黑体" w:hAnsi="黑体" w:eastAsia="黑体" w:cs="黑体"/>
          <w:spacing w:val="7"/>
          <w:sz w:val="32"/>
          <w:szCs w:val="32"/>
          <w:lang w:eastAsia="zh-CN"/>
        </w:rPr>
        <w:t>2026</w:t>
      </w:r>
      <w:r>
        <w:rPr>
          <w:rFonts w:ascii="黑体" w:hAnsi="黑体" w:eastAsia="黑体" w:cs="黑体"/>
          <w:spacing w:val="7"/>
          <w:sz w:val="32"/>
          <w:szCs w:val="32"/>
        </w:rPr>
        <w:t>年预算</w:t>
      </w:r>
    </w:p>
    <w:p w14:paraId="46A84E9D">
      <w:pPr>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0" w:firstLineChars="0"/>
        <w:jc w:val="center"/>
        <w:textAlignment w:val="baseline"/>
        <w:rPr>
          <w:rFonts w:ascii="黑体" w:hAnsi="黑体" w:eastAsia="黑体" w:cs="黑体"/>
          <w:spacing w:val="2"/>
          <w:sz w:val="32"/>
          <w:szCs w:val="32"/>
        </w:rPr>
      </w:pPr>
      <w:r>
        <w:rPr>
          <w:rFonts w:ascii="黑体" w:hAnsi="黑体" w:eastAsia="黑体" w:cs="黑体"/>
          <w:spacing w:val="2"/>
          <w:sz w:val="32"/>
          <w:szCs w:val="32"/>
        </w:rPr>
        <w:t>情况说明</w:t>
      </w:r>
    </w:p>
    <w:p w14:paraId="5D28697D">
      <w:pPr>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28" w:firstLineChars="200"/>
        <w:jc w:val="both"/>
        <w:textAlignment w:val="baseline"/>
        <w:rPr>
          <w:rFonts w:ascii="黑体" w:hAnsi="黑体" w:eastAsia="黑体" w:cs="黑体"/>
          <w:sz w:val="32"/>
          <w:szCs w:val="32"/>
        </w:rPr>
      </w:pPr>
      <w:r>
        <w:rPr>
          <w:rFonts w:ascii="黑体" w:hAnsi="黑体" w:eastAsia="黑体" w:cs="黑体"/>
          <w:spacing w:val="-3"/>
          <w:sz w:val="32"/>
          <w:szCs w:val="32"/>
        </w:rPr>
        <w:t>一、收入支出预算总体情况说明</w:t>
      </w:r>
    </w:p>
    <w:p w14:paraId="16ECA76D">
      <w:pPr>
        <w:keepNext w:val="0"/>
        <w:keepLines w:val="0"/>
        <w:pageBreakBefore w:val="0"/>
        <w:widowControl w:val="0"/>
        <w:kinsoku/>
        <w:wordWrap/>
        <w:overflowPunct/>
        <w:topLinePunct w:val="0"/>
        <w:autoSpaceDE/>
        <w:autoSpaceDN/>
        <w:bidi w:val="0"/>
        <w:adjustRightInd/>
        <w:snapToGrid/>
        <w:spacing w:line="560" w:lineRule="exact"/>
        <w:ind w:left="0" w:right="0" w:firstLine="640"/>
        <w:jc w:val="both"/>
        <w:textAlignment w:val="auto"/>
        <w:rPr>
          <w:rFonts w:hint="default" w:ascii="Times New Roman" w:hAnsi="Times New Roman" w:eastAsia="仿宋_GB2312" w:cs="Times New Roman"/>
          <w:snapToGrid/>
          <w:kern w:val="2"/>
          <w:sz w:val="32"/>
          <w:szCs w:val="32"/>
          <w:highlight w:val="none"/>
          <w:lang w:val="en-US" w:eastAsia="zh-CN" w:bidi="ar-SA"/>
        </w:rPr>
      </w:pPr>
      <w:r>
        <w:rPr>
          <w:rFonts w:hint="default" w:ascii="Times New Roman" w:hAnsi="Times New Roman" w:eastAsia="仿宋_GB2312" w:cs="Times New Roman"/>
          <w:snapToGrid/>
          <w:kern w:val="2"/>
          <w:sz w:val="32"/>
          <w:szCs w:val="32"/>
          <w:highlight w:val="none"/>
          <w:lang w:val="en-US" w:eastAsia="zh-CN" w:bidi="ar-SA"/>
        </w:rPr>
        <w:t>三门峡市城乡一体化示范区党政办公室2026年收入总计1,778.81万元，支出总计1,778.81万元；与202</w:t>
      </w:r>
      <w:r>
        <w:rPr>
          <w:rFonts w:hint="eastAsia" w:ascii="Times New Roman" w:hAnsi="Times New Roman" w:eastAsia="仿宋_GB2312" w:cs="Times New Roman"/>
          <w:snapToGrid/>
          <w:kern w:val="2"/>
          <w:sz w:val="32"/>
          <w:szCs w:val="32"/>
          <w:highlight w:val="none"/>
          <w:lang w:val="en-US" w:eastAsia="zh-CN" w:bidi="ar-SA"/>
        </w:rPr>
        <w:t>5</w:t>
      </w:r>
      <w:r>
        <w:rPr>
          <w:rFonts w:hint="default" w:ascii="Times New Roman" w:hAnsi="Times New Roman" w:eastAsia="仿宋_GB2312" w:cs="Times New Roman"/>
          <w:snapToGrid/>
          <w:kern w:val="2"/>
          <w:sz w:val="32"/>
          <w:szCs w:val="32"/>
          <w:highlight w:val="none"/>
          <w:lang w:val="en-US" w:eastAsia="zh-CN" w:bidi="ar-SA"/>
        </w:rPr>
        <w:t>年预算相比，收入增加311.31万元，上升21.21%,主要原因是：</w:t>
      </w:r>
      <w:r>
        <w:rPr>
          <w:rFonts w:hint="eastAsia" w:ascii="Times New Roman" w:hAnsi="Times New Roman" w:eastAsia="仿宋_GB2312" w:cs="Times New Roman"/>
          <w:snapToGrid/>
          <w:kern w:val="2"/>
          <w:sz w:val="32"/>
          <w:szCs w:val="32"/>
          <w:highlight w:val="none"/>
          <w:lang w:val="en-US" w:eastAsia="zh-CN" w:bidi="ar-SA"/>
        </w:rPr>
        <w:t>党政</w:t>
      </w:r>
      <w:r>
        <w:rPr>
          <w:rFonts w:hint="default" w:ascii="Times New Roman" w:hAnsi="Times New Roman" w:eastAsia="仿宋_GB2312" w:cs="Times New Roman"/>
          <w:snapToGrid/>
          <w:kern w:val="2"/>
          <w:sz w:val="32"/>
          <w:szCs w:val="32"/>
          <w:highlight w:val="none"/>
          <w:lang w:val="en-US" w:eastAsia="zh-CN" w:bidi="ar-SA"/>
        </w:rPr>
        <w:t>办公室相关事务增加，经费增加；支出增加311.31万元，上升21.21%</w:t>
      </w:r>
      <w:r>
        <w:rPr>
          <w:rFonts w:hint="eastAsia" w:ascii="Times New Roman" w:hAnsi="Times New Roman" w:eastAsia="仿宋_GB2312" w:cs="Times New Roman"/>
          <w:snapToGrid/>
          <w:kern w:val="2"/>
          <w:sz w:val="32"/>
          <w:szCs w:val="32"/>
          <w:highlight w:val="none"/>
          <w:lang w:val="en-US" w:eastAsia="zh-CN" w:bidi="ar-SA"/>
        </w:rPr>
        <w:t>，</w:t>
      </w:r>
      <w:r>
        <w:rPr>
          <w:rFonts w:hint="default" w:ascii="Times New Roman" w:hAnsi="Times New Roman" w:eastAsia="仿宋_GB2312" w:cs="Times New Roman"/>
          <w:snapToGrid/>
          <w:kern w:val="2"/>
          <w:sz w:val="32"/>
          <w:szCs w:val="32"/>
          <w:highlight w:val="none"/>
          <w:lang w:val="en-US" w:eastAsia="zh-CN" w:bidi="ar-SA"/>
        </w:rPr>
        <w:t>主要原因是：</w:t>
      </w:r>
      <w:r>
        <w:rPr>
          <w:rFonts w:hint="eastAsia" w:ascii="Times New Roman" w:hAnsi="Times New Roman" w:eastAsia="仿宋_GB2312" w:cs="Times New Roman"/>
          <w:snapToGrid/>
          <w:kern w:val="2"/>
          <w:sz w:val="32"/>
          <w:szCs w:val="32"/>
          <w:highlight w:val="none"/>
          <w:lang w:val="en-US" w:eastAsia="zh-CN" w:bidi="ar-SA"/>
        </w:rPr>
        <w:t>党政</w:t>
      </w:r>
      <w:r>
        <w:rPr>
          <w:rFonts w:hint="default" w:ascii="Times New Roman" w:hAnsi="Times New Roman" w:eastAsia="仿宋_GB2312" w:cs="Times New Roman"/>
          <w:snapToGrid/>
          <w:kern w:val="2"/>
          <w:sz w:val="32"/>
          <w:szCs w:val="32"/>
          <w:highlight w:val="none"/>
          <w:lang w:val="en-US" w:eastAsia="zh-CN" w:bidi="ar-SA"/>
        </w:rPr>
        <w:t>办公室相关事务增加，经费增加。</w:t>
      </w:r>
    </w:p>
    <w:p w14:paraId="54C6D587">
      <w:pPr>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28" w:firstLineChars="200"/>
        <w:jc w:val="both"/>
        <w:textAlignment w:val="baseline"/>
        <w:rPr>
          <w:rFonts w:ascii="黑体" w:hAnsi="黑体" w:eastAsia="黑体" w:cs="黑体"/>
          <w:sz w:val="32"/>
          <w:szCs w:val="32"/>
        </w:rPr>
      </w:pPr>
      <w:r>
        <w:rPr>
          <w:rFonts w:ascii="黑体" w:hAnsi="黑体" w:eastAsia="黑体" w:cs="黑体"/>
          <w:spacing w:val="-3"/>
          <w:sz w:val="32"/>
          <w:szCs w:val="32"/>
        </w:rPr>
        <w:t>二、收入预算总体情况说明</w:t>
      </w:r>
    </w:p>
    <w:p w14:paraId="20E93169">
      <w:pPr>
        <w:keepNext w:val="0"/>
        <w:keepLines w:val="0"/>
        <w:pageBreakBefore w:val="0"/>
        <w:widowControl w:val="0"/>
        <w:kinsoku/>
        <w:wordWrap/>
        <w:overflowPunct/>
        <w:topLinePunct w:val="0"/>
        <w:autoSpaceDE/>
        <w:autoSpaceDN/>
        <w:bidi w:val="0"/>
        <w:adjustRightInd/>
        <w:snapToGrid/>
        <w:spacing w:line="560" w:lineRule="exact"/>
        <w:ind w:left="0" w:right="0" w:firstLine="640"/>
        <w:jc w:val="both"/>
        <w:textAlignment w:val="auto"/>
        <w:rPr>
          <w:rFonts w:hint="default" w:ascii="Times New Roman" w:hAnsi="Times New Roman" w:eastAsia="仿宋_GB2312" w:cs="Times New Roman"/>
          <w:snapToGrid/>
          <w:kern w:val="2"/>
          <w:sz w:val="32"/>
          <w:szCs w:val="32"/>
          <w:highlight w:val="none"/>
          <w:lang w:val="en-US" w:eastAsia="zh-CN" w:bidi="ar-SA"/>
        </w:rPr>
      </w:pPr>
      <w:r>
        <w:rPr>
          <w:rFonts w:hint="eastAsia" w:ascii="仿宋_GB2312" w:hAnsi="Calibri" w:eastAsia="仿宋_GB2312" w:cs="Times New Roman"/>
          <w:snapToGrid/>
          <w:kern w:val="2"/>
          <w:sz w:val="32"/>
          <w:szCs w:val="32"/>
          <w:highlight w:val="none"/>
          <w:lang w:val="en-US" w:eastAsia="zh-CN" w:bidi="ar-SA"/>
        </w:rPr>
        <w:t>三门峡市城乡一体化示范区党政办公室</w:t>
      </w:r>
      <w:r>
        <w:rPr>
          <w:rFonts w:hint="default" w:ascii="Times New Roman" w:hAnsi="Times New Roman" w:eastAsia="仿宋_GB2312" w:cs="Times New Roman"/>
          <w:snapToGrid/>
          <w:kern w:val="2"/>
          <w:sz w:val="32"/>
          <w:szCs w:val="32"/>
          <w:highlight w:val="none"/>
          <w:lang w:val="en-US" w:eastAsia="zh-CN" w:bidi="ar-SA"/>
        </w:rPr>
        <w:t>2026年收入合计1,778.81万元，其中：一般公共预算1,778.81万元。</w:t>
      </w:r>
    </w:p>
    <w:p w14:paraId="292D7288">
      <w:pPr>
        <w:keepNext w:val="0"/>
        <w:keepLines w:val="0"/>
        <w:pageBreakBefore w:val="0"/>
        <w:widowControl w:val="0"/>
        <w:wordWrap/>
        <w:overflowPunct/>
        <w:topLinePunct w:val="0"/>
        <w:bidi w:val="0"/>
        <w:spacing w:line="560" w:lineRule="exact"/>
        <w:ind w:left="0" w:right="0" w:firstLine="624" w:firstLineChars="200"/>
        <w:jc w:val="both"/>
        <w:rPr>
          <w:rFonts w:ascii="黑体" w:hAnsi="黑体" w:eastAsia="黑体" w:cs="黑体"/>
          <w:sz w:val="32"/>
          <w:szCs w:val="32"/>
        </w:rPr>
      </w:pPr>
      <w:r>
        <w:rPr>
          <w:rFonts w:ascii="黑体" w:hAnsi="黑体" w:eastAsia="黑体" w:cs="黑体"/>
          <w:spacing w:val="-4"/>
          <w:sz w:val="32"/>
          <w:szCs w:val="32"/>
        </w:rPr>
        <w:t>三、支出预算总体情况说明</w:t>
      </w:r>
    </w:p>
    <w:p w14:paraId="3E40397B">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rPr>
          <w:rFonts w:hint="default" w:ascii="Times New Roman" w:hAnsi="Times New Roman" w:eastAsia="仿宋_GB2312" w:cs="Times New Roman"/>
          <w:snapToGrid/>
          <w:kern w:val="2"/>
          <w:sz w:val="32"/>
          <w:szCs w:val="32"/>
          <w:highlight w:val="none"/>
          <w:lang w:val="en-US" w:eastAsia="zh-CN" w:bidi="ar-SA"/>
        </w:rPr>
      </w:pPr>
      <w:r>
        <w:rPr>
          <w:rFonts w:hint="default" w:ascii="Times New Roman" w:hAnsi="Times New Roman" w:eastAsia="仿宋_GB2312" w:cs="Times New Roman"/>
          <w:snapToGrid/>
          <w:kern w:val="2"/>
          <w:sz w:val="32"/>
          <w:szCs w:val="32"/>
          <w:highlight w:val="none"/>
          <w:lang w:val="en-US" w:eastAsia="zh-CN" w:bidi="ar-SA"/>
        </w:rPr>
        <w:t>三门峡市城乡一体化示范区</w:t>
      </w:r>
      <w:r>
        <w:rPr>
          <w:rFonts w:hint="eastAsia" w:ascii="Times New Roman" w:hAnsi="Times New Roman" w:eastAsia="仿宋_GB2312" w:cs="Times New Roman"/>
          <w:snapToGrid/>
          <w:kern w:val="2"/>
          <w:sz w:val="32"/>
          <w:szCs w:val="32"/>
          <w:highlight w:val="none"/>
          <w:lang w:val="en-US" w:eastAsia="zh-CN" w:bidi="ar-SA"/>
        </w:rPr>
        <w:t>党政</w:t>
      </w:r>
      <w:r>
        <w:rPr>
          <w:rFonts w:hint="default" w:ascii="Times New Roman" w:hAnsi="Times New Roman" w:eastAsia="仿宋_GB2312" w:cs="Times New Roman"/>
          <w:snapToGrid/>
          <w:kern w:val="2"/>
          <w:sz w:val="32"/>
          <w:szCs w:val="32"/>
          <w:highlight w:val="none"/>
          <w:lang w:val="en-US" w:eastAsia="zh-CN" w:bidi="ar-SA"/>
        </w:rPr>
        <w:t>办公室2026年支出合计1,778.81万元，其中：基本支出734.84万元，占比41.31%</w:t>
      </w:r>
      <w:r>
        <w:rPr>
          <w:rFonts w:hint="eastAsia" w:ascii="Times New Roman" w:hAnsi="Times New Roman" w:eastAsia="仿宋_GB2312" w:cs="Times New Roman"/>
          <w:snapToGrid/>
          <w:kern w:val="2"/>
          <w:sz w:val="32"/>
          <w:szCs w:val="32"/>
          <w:highlight w:val="none"/>
          <w:lang w:val="en-US" w:eastAsia="zh-CN" w:bidi="ar-SA"/>
        </w:rPr>
        <w:t>；</w:t>
      </w:r>
      <w:r>
        <w:rPr>
          <w:rFonts w:hint="default" w:ascii="Times New Roman" w:hAnsi="Times New Roman" w:eastAsia="仿宋_GB2312" w:cs="Times New Roman"/>
          <w:snapToGrid/>
          <w:kern w:val="2"/>
          <w:sz w:val="32"/>
          <w:szCs w:val="32"/>
          <w:highlight w:val="none"/>
          <w:lang w:val="en-US" w:eastAsia="zh-CN" w:bidi="ar-SA"/>
        </w:rPr>
        <w:t>项目支出1,043.97万元，占58.69%。</w:t>
      </w:r>
    </w:p>
    <w:p w14:paraId="4EA0D49A">
      <w:pPr>
        <w:keepNext w:val="0"/>
        <w:keepLines w:val="0"/>
        <w:pageBreakBefore w:val="0"/>
        <w:widowControl w:val="0"/>
        <w:wordWrap/>
        <w:overflowPunct/>
        <w:topLinePunct w:val="0"/>
        <w:bidi w:val="0"/>
        <w:spacing w:line="560" w:lineRule="exact"/>
        <w:ind w:left="0" w:right="0" w:firstLine="620" w:firstLineChars="200"/>
        <w:jc w:val="both"/>
        <w:rPr>
          <w:rFonts w:ascii="黑体" w:hAnsi="黑体" w:eastAsia="黑体" w:cs="黑体"/>
          <w:sz w:val="32"/>
          <w:szCs w:val="32"/>
        </w:rPr>
      </w:pPr>
      <w:r>
        <w:rPr>
          <w:rFonts w:ascii="黑体" w:hAnsi="黑体" w:eastAsia="黑体" w:cs="黑体"/>
          <w:spacing w:val="-5"/>
          <w:sz w:val="32"/>
          <w:szCs w:val="32"/>
        </w:rPr>
        <w:t>四、财政拨款收入支出预算总体情况说明</w:t>
      </w:r>
    </w:p>
    <w:p w14:paraId="1C06C2DF">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rPr>
          <w:rFonts w:hint="default" w:ascii="Times New Roman" w:hAnsi="Times New Roman" w:eastAsia="仿宋_GB2312" w:cs="Times New Roman"/>
          <w:snapToGrid/>
          <w:kern w:val="2"/>
          <w:sz w:val="32"/>
          <w:szCs w:val="32"/>
          <w:highlight w:val="none"/>
          <w:lang w:val="en-US" w:eastAsia="zh-CN" w:bidi="ar-SA"/>
        </w:rPr>
      </w:pPr>
      <w:r>
        <w:rPr>
          <w:rFonts w:hint="eastAsia" w:ascii="仿宋_GB2312" w:hAnsi="Calibri" w:eastAsia="仿宋_GB2312" w:cs="Times New Roman"/>
          <w:snapToGrid/>
          <w:kern w:val="2"/>
          <w:sz w:val="32"/>
          <w:szCs w:val="32"/>
          <w:highlight w:val="none"/>
          <w:lang w:val="en-US" w:eastAsia="zh-CN" w:bidi="ar-SA"/>
        </w:rPr>
        <w:t>三门峡市城乡一体化示范区党政办公</w:t>
      </w:r>
      <w:r>
        <w:rPr>
          <w:rFonts w:hint="default" w:ascii="Times New Roman" w:hAnsi="Times New Roman" w:eastAsia="仿宋_GB2312" w:cs="Times New Roman"/>
          <w:snapToGrid/>
          <w:kern w:val="2"/>
          <w:sz w:val="32"/>
          <w:szCs w:val="32"/>
          <w:highlight w:val="none"/>
          <w:lang w:val="en-US" w:eastAsia="zh-CN" w:bidi="ar-SA"/>
        </w:rPr>
        <w:t>室2026年一般公共预算收支预算1,778.81万元。与2025年相比，一般公共预算收支预算增加311.31万元，上升21.21%</w:t>
      </w:r>
      <w:r>
        <w:rPr>
          <w:rFonts w:hint="eastAsia" w:ascii="Times New Roman" w:hAnsi="Times New Roman" w:eastAsia="仿宋_GB2312" w:cs="Times New Roman"/>
          <w:snapToGrid/>
          <w:kern w:val="2"/>
          <w:sz w:val="32"/>
          <w:szCs w:val="32"/>
          <w:highlight w:val="none"/>
          <w:lang w:val="en-US" w:eastAsia="zh-CN" w:bidi="ar-SA"/>
        </w:rPr>
        <w:t>，</w:t>
      </w:r>
      <w:r>
        <w:rPr>
          <w:rFonts w:hint="default" w:ascii="Times New Roman" w:hAnsi="Times New Roman" w:eastAsia="仿宋_GB2312" w:cs="Times New Roman"/>
          <w:snapToGrid/>
          <w:kern w:val="2"/>
          <w:sz w:val="32"/>
          <w:szCs w:val="32"/>
          <w:highlight w:val="none"/>
          <w:lang w:val="en-US" w:eastAsia="zh-CN" w:bidi="ar-SA"/>
        </w:rPr>
        <w:t>主要因是：</w:t>
      </w:r>
      <w:r>
        <w:rPr>
          <w:rFonts w:hint="eastAsia" w:ascii="Times New Roman" w:hAnsi="Times New Roman" w:eastAsia="仿宋_GB2312" w:cs="Times New Roman"/>
          <w:snapToGrid/>
          <w:kern w:val="2"/>
          <w:sz w:val="32"/>
          <w:szCs w:val="32"/>
          <w:highlight w:val="none"/>
          <w:lang w:val="en-US" w:eastAsia="zh-CN" w:bidi="ar-SA"/>
        </w:rPr>
        <w:t>党政</w:t>
      </w:r>
      <w:r>
        <w:rPr>
          <w:rFonts w:hint="default" w:ascii="Times New Roman" w:hAnsi="Times New Roman" w:eastAsia="仿宋_GB2312" w:cs="Times New Roman"/>
          <w:snapToGrid/>
          <w:kern w:val="2"/>
          <w:sz w:val="32"/>
          <w:szCs w:val="32"/>
          <w:highlight w:val="none"/>
          <w:lang w:val="en-US" w:eastAsia="zh-CN" w:bidi="ar-SA"/>
        </w:rPr>
        <w:t>办公室相关事务增加，经费增加。</w:t>
      </w:r>
    </w:p>
    <w:p w14:paraId="7C5FE638">
      <w:pPr>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20" w:firstLineChars="200"/>
        <w:jc w:val="both"/>
        <w:textAlignment w:val="baseline"/>
        <w:rPr>
          <w:rFonts w:ascii="黑体" w:hAnsi="黑体" w:eastAsia="黑体" w:cs="黑体"/>
          <w:sz w:val="32"/>
          <w:szCs w:val="32"/>
        </w:rPr>
      </w:pPr>
      <w:r>
        <w:rPr>
          <w:rFonts w:ascii="黑体" w:hAnsi="黑体" w:eastAsia="黑体" w:cs="黑体"/>
          <w:spacing w:val="-5"/>
          <w:sz w:val="32"/>
          <w:szCs w:val="32"/>
        </w:rPr>
        <w:t>五、一般公共预算支出预算情况说明</w:t>
      </w:r>
    </w:p>
    <w:p w14:paraId="4832A4C2">
      <w:pPr>
        <w:keepNext w:val="0"/>
        <w:keepLines w:val="0"/>
        <w:pageBreakBefore w:val="0"/>
        <w:widowControl w:val="0"/>
        <w:kinsoku/>
        <w:wordWrap/>
        <w:overflowPunct/>
        <w:topLinePunct w:val="0"/>
        <w:autoSpaceDE/>
        <w:autoSpaceDN/>
        <w:bidi w:val="0"/>
        <w:adjustRightInd/>
        <w:snapToGrid/>
        <w:spacing w:line="560" w:lineRule="exact"/>
        <w:ind w:left="0" w:right="0" w:firstLine="640"/>
        <w:jc w:val="both"/>
        <w:textAlignment w:val="auto"/>
        <w:rPr>
          <w:rFonts w:hint="default" w:ascii="Times New Roman" w:hAnsi="Times New Roman" w:eastAsia="仿宋" w:cs="Times New Roman"/>
          <w:snapToGrid w:val="0"/>
          <w:color w:val="000000"/>
          <w:spacing w:val="20"/>
          <w:kern w:val="0"/>
          <w:sz w:val="32"/>
          <w:szCs w:val="32"/>
          <w:lang w:val="en-US" w:eastAsia="zh-CN" w:bidi="ar-SA"/>
        </w:rPr>
      </w:pPr>
      <w:r>
        <w:rPr>
          <w:rFonts w:hint="default" w:ascii="Times New Roman" w:hAnsi="Times New Roman" w:eastAsia="仿宋_GB2312" w:cs="Times New Roman"/>
          <w:snapToGrid/>
          <w:kern w:val="2"/>
          <w:sz w:val="32"/>
          <w:szCs w:val="32"/>
          <w:highlight w:val="none"/>
          <w:lang w:val="en-US" w:eastAsia="zh-CN" w:bidi="ar-SA"/>
        </w:rPr>
        <w:t>三门峡市城乡一体化示范区</w:t>
      </w:r>
      <w:r>
        <w:rPr>
          <w:rFonts w:hint="eastAsia" w:ascii="Times New Roman" w:hAnsi="Times New Roman" w:eastAsia="仿宋_GB2312" w:cs="Times New Roman"/>
          <w:snapToGrid/>
          <w:kern w:val="2"/>
          <w:sz w:val="32"/>
          <w:szCs w:val="32"/>
          <w:highlight w:val="none"/>
          <w:lang w:val="en-US" w:eastAsia="zh-CN" w:bidi="ar-SA"/>
        </w:rPr>
        <w:t>党政</w:t>
      </w:r>
      <w:r>
        <w:rPr>
          <w:rFonts w:hint="default" w:ascii="Times New Roman" w:hAnsi="Times New Roman" w:eastAsia="仿宋_GB2312" w:cs="Times New Roman"/>
          <w:snapToGrid/>
          <w:kern w:val="2"/>
          <w:sz w:val="32"/>
          <w:szCs w:val="32"/>
          <w:highlight w:val="none"/>
          <w:lang w:val="en-US" w:eastAsia="zh-CN" w:bidi="ar-SA"/>
        </w:rPr>
        <w:t>办公室2026年一般公共预算支出年初预算为1,778.81万元，其中基本支出734.84万元，占比41.31%;项目支出1,043.97万元，占58.69%。主要用于以下方面：一般公共服务支出1,492.55万元，占比83.91%</w:t>
      </w:r>
      <w:r>
        <w:rPr>
          <w:rFonts w:hint="eastAsia" w:ascii="Times New Roman" w:hAnsi="Times New Roman" w:eastAsia="仿宋_GB2312" w:cs="Times New Roman"/>
          <w:snapToGrid/>
          <w:kern w:val="2"/>
          <w:sz w:val="32"/>
          <w:szCs w:val="32"/>
          <w:highlight w:val="none"/>
          <w:lang w:val="en-US" w:eastAsia="zh-CN" w:bidi="ar-SA"/>
        </w:rPr>
        <w:t>；</w:t>
      </w:r>
      <w:r>
        <w:rPr>
          <w:rFonts w:hint="default" w:ascii="Times New Roman" w:hAnsi="Times New Roman" w:eastAsia="仿宋_GB2312" w:cs="Times New Roman"/>
          <w:snapToGrid/>
          <w:kern w:val="2"/>
          <w:sz w:val="32"/>
          <w:szCs w:val="32"/>
          <w:highlight w:val="none"/>
          <w:lang w:val="en-US" w:eastAsia="zh-CN" w:bidi="ar-SA"/>
        </w:rPr>
        <w:t>社会保障和就业支出124.27万元，占比6.99%</w:t>
      </w:r>
      <w:r>
        <w:rPr>
          <w:rFonts w:hint="eastAsia" w:ascii="Times New Roman" w:hAnsi="Times New Roman" w:eastAsia="仿宋_GB2312" w:cs="Times New Roman"/>
          <w:snapToGrid/>
          <w:kern w:val="2"/>
          <w:sz w:val="32"/>
          <w:szCs w:val="32"/>
          <w:highlight w:val="none"/>
          <w:lang w:val="en-US" w:eastAsia="zh-CN" w:bidi="ar-SA"/>
        </w:rPr>
        <w:t>；</w:t>
      </w:r>
      <w:r>
        <w:rPr>
          <w:rFonts w:hint="default" w:ascii="Times New Roman" w:hAnsi="Times New Roman" w:eastAsia="仿宋_GB2312" w:cs="Times New Roman"/>
          <w:snapToGrid/>
          <w:kern w:val="2"/>
          <w:sz w:val="32"/>
          <w:szCs w:val="32"/>
          <w:highlight w:val="none"/>
          <w:lang w:val="en-US" w:eastAsia="zh-CN" w:bidi="ar-SA"/>
        </w:rPr>
        <w:t>卫生健康支出39.93万元，占比2.24%</w:t>
      </w:r>
      <w:r>
        <w:rPr>
          <w:rFonts w:hint="eastAsia" w:ascii="Times New Roman" w:hAnsi="Times New Roman" w:eastAsia="仿宋_GB2312" w:cs="Times New Roman"/>
          <w:snapToGrid/>
          <w:kern w:val="2"/>
          <w:sz w:val="32"/>
          <w:szCs w:val="32"/>
          <w:highlight w:val="none"/>
          <w:lang w:val="en-US" w:eastAsia="zh-CN" w:bidi="ar-SA"/>
        </w:rPr>
        <w:t>；</w:t>
      </w:r>
      <w:r>
        <w:rPr>
          <w:rFonts w:hint="default" w:ascii="Times New Roman" w:hAnsi="Times New Roman" w:eastAsia="仿宋_GB2312" w:cs="Times New Roman"/>
          <w:snapToGrid/>
          <w:kern w:val="2"/>
          <w:sz w:val="32"/>
          <w:szCs w:val="32"/>
          <w:highlight w:val="none"/>
          <w:lang w:val="en-US" w:eastAsia="zh-CN" w:bidi="ar-SA"/>
        </w:rPr>
        <w:t>住房保障支出57.07万元，占比3.21%</w:t>
      </w:r>
      <w:r>
        <w:rPr>
          <w:rFonts w:hint="eastAsia" w:ascii="Times New Roman" w:hAnsi="Times New Roman" w:eastAsia="仿宋_GB2312" w:cs="Times New Roman"/>
          <w:snapToGrid/>
          <w:kern w:val="2"/>
          <w:sz w:val="32"/>
          <w:szCs w:val="32"/>
          <w:highlight w:val="none"/>
          <w:lang w:val="en-US" w:eastAsia="zh-CN" w:bidi="ar-SA"/>
        </w:rPr>
        <w:t>；</w:t>
      </w:r>
      <w:r>
        <w:rPr>
          <w:rFonts w:hint="default" w:ascii="Times New Roman" w:hAnsi="Times New Roman" w:eastAsia="仿宋_GB2312" w:cs="Times New Roman"/>
          <w:snapToGrid/>
          <w:kern w:val="2"/>
          <w:sz w:val="32"/>
          <w:szCs w:val="32"/>
          <w:highlight w:val="none"/>
          <w:lang w:val="en-US" w:eastAsia="zh-CN" w:bidi="ar-SA"/>
        </w:rPr>
        <w:t>公共安全支出5.00万元，占比0.28%</w:t>
      </w:r>
      <w:r>
        <w:rPr>
          <w:rFonts w:hint="eastAsia" w:ascii="Times New Roman" w:hAnsi="Times New Roman" w:eastAsia="仿宋_GB2312" w:cs="Times New Roman"/>
          <w:snapToGrid/>
          <w:kern w:val="2"/>
          <w:sz w:val="32"/>
          <w:szCs w:val="32"/>
          <w:highlight w:val="none"/>
          <w:lang w:val="en-US" w:eastAsia="zh-CN" w:bidi="ar-SA"/>
        </w:rPr>
        <w:t>；</w:t>
      </w:r>
      <w:r>
        <w:rPr>
          <w:rFonts w:hint="default" w:ascii="Times New Roman" w:hAnsi="Times New Roman" w:eastAsia="仿宋_GB2312" w:cs="Times New Roman"/>
          <w:snapToGrid/>
          <w:kern w:val="2"/>
          <w:sz w:val="32"/>
          <w:szCs w:val="32"/>
          <w:highlight w:val="none"/>
          <w:lang w:val="en-US" w:eastAsia="zh-CN" w:bidi="ar-SA"/>
        </w:rPr>
        <w:t>资源勘探信息等支出60.00万元，占比3.37%。</w:t>
      </w:r>
    </w:p>
    <w:p w14:paraId="23047E34">
      <w:pPr>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08" w:firstLineChars="200"/>
        <w:jc w:val="both"/>
        <w:textAlignment w:val="baseline"/>
        <w:rPr>
          <w:rFonts w:ascii="黑体" w:hAnsi="黑体" w:eastAsia="黑体" w:cs="黑体"/>
          <w:sz w:val="32"/>
          <w:szCs w:val="32"/>
        </w:rPr>
      </w:pPr>
      <w:r>
        <w:rPr>
          <w:rFonts w:ascii="黑体" w:hAnsi="黑体" w:eastAsia="黑体" w:cs="黑体"/>
          <w:spacing w:val="-8"/>
          <w:sz w:val="32"/>
          <w:szCs w:val="32"/>
        </w:rPr>
        <w:t>六、一般公共预算基本支出预算情况说明</w:t>
      </w:r>
    </w:p>
    <w:p w14:paraId="79C12A20">
      <w:pPr>
        <w:keepNext w:val="0"/>
        <w:keepLines w:val="0"/>
        <w:pageBreakBefore w:val="0"/>
        <w:widowControl w:val="0"/>
        <w:kinsoku/>
        <w:wordWrap/>
        <w:overflowPunct/>
        <w:topLinePunct w:val="0"/>
        <w:autoSpaceDE/>
        <w:autoSpaceDN/>
        <w:bidi w:val="0"/>
        <w:adjustRightInd/>
        <w:snapToGrid/>
        <w:spacing w:line="560" w:lineRule="exact"/>
        <w:ind w:left="0" w:right="0" w:firstLine="640"/>
        <w:jc w:val="both"/>
        <w:textAlignment w:val="auto"/>
        <w:rPr>
          <w:rFonts w:hint="default" w:ascii="Times New Roman" w:hAnsi="Times New Roman" w:eastAsia="仿宋_GB2312" w:cs="Times New Roman"/>
          <w:snapToGrid/>
          <w:kern w:val="2"/>
          <w:sz w:val="32"/>
          <w:szCs w:val="32"/>
          <w:highlight w:val="none"/>
          <w:lang w:val="en-US" w:eastAsia="zh-CN" w:bidi="ar-SA"/>
        </w:rPr>
      </w:pPr>
      <w:r>
        <w:rPr>
          <w:rFonts w:hint="default" w:ascii="Times New Roman" w:hAnsi="Times New Roman" w:eastAsia="仿宋_GB2312" w:cs="Times New Roman"/>
          <w:snapToGrid/>
          <w:kern w:val="2"/>
          <w:sz w:val="32"/>
          <w:szCs w:val="32"/>
          <w:highlight w:val="none"/>
          <w:lang w:val="en-US" w:eastAsia="zh-CN" w:bidi="ar-SA"/>
        </w:rPr>
        <w:t>2026年三门峡市城乡一体化示范区</w:t>
      </w:r>
      <w:r>
        <w:rPr>
          <w:rFonts w:hint="eastAsia" w:ascii="Times New Roman" w:hAnsi="Times New Roman" w:eastAsia="仿宋_GB2312" w:cs="Times New Roman"/>
          <w:snapToGrid/>
          <w:kern w:val="2"/>
          <w:sz w:val="32"/>
          <w:szCs w:val="32"/>
          <w:highlight w:val="none"/>
          <w:lang w:val="en-US" w:eastAsia="zh-CN" w:bidi="ar-SA"/>
        </w:rPr>
        <w:t>党政</w:t>
      </w:r>
      <w:r>
        <w:rPr>
          <w:rFonts w:hint="default" w:ascii="Times New Roman" w:hAnsi="Times New Roman" w:eastAsia="仿宋_GB2312" w:cs="Times New Roman"/>
          <w:snapToGrid/>
          <w:kern w:val="2"/>
          <w:sz w:val="32"/>
          <w:szCs w:val="32"/>
          <w:highlight w:val="none"/>
          <w:lang w:val="en-US" w:eastAsia="zh-CN" w:bidi="ar-SA"/>
        </w:rPr>
        <w:t>办公室一般公共预算基本支出年初预算为734.84万元，其中：人员经费支出669.81万元，占比91.15%</w:t>
      </w:r>
      <w:r>
        <w:rPr>
          <w:rFonts w:hint="eastAsia" w:ascii="Times New Roman" w:hAnsi="Times New Roman" w:eastAsia="仿宋_GB2312" w:cs="Times New Roman"/>
          <w:snapToGrid/>
          <w:kern w:val="2"/>
          <w:sz w:val="32"/>
          <w:szCs w:val="32"/>
          <w:highlight w:val="none"/>
          <w:lang w:val="en-US" w:eastAsia="zh-CN" w:bidi="ar-SA"/>
        </w:rPr>
        <w:t>；</w:t>
      </w:r>
      <w:r>
        <w:rPr>
          <w:rFonts w:hint="default" w:ascii="Times New Roman" w:hAnsi="Times New Roman" w:eastAsia="仿宋_GB2312" w:cs="Times New Roman"/>
          <w:snapToGrid/>
          <w:kern w:val="2"/>
          <w:sz w:val="32"/>
          <w:szCs w:val="32"/>
          <w:highlight w:val="none"/>
          <w:lang w:val="en-US" w:eastAsia="zh-CN" w:bidi="ar-SA"/>
        </w:rPr>
        <w:t>主要包括：基本工资、津贴补贴、奖金、绩效工资、机关事业单位基本养老保险缴费、职业年金缴费、医疗保险缴费、其他社会保障缴费、住房公积金、其他工资福利支出、其他对个人和家庭的补助支出；公用经费支出65.04万元，占比8.85%</w:t>
      </w:r>
      <w:r>
        <w:rPr>
          <w:rFonts w:hint="eastAsia" w:ascii="Times New Roman" w:hAnsi="Times New Roman" w:eastAsia="仿宋_GB2312" w:cs="Times New Roman"/>
          <w:snapToGrid/>
          <w:kern w:val="2"/>
          <w:sz w:val="32"/>
          <w:szCs w:val="32"/>
          <w:highlight w:val="none"/>
          <w:lang w:val="en-US" w:eastAsia="zh-CN" w:bidi="ar-SA"/>
        </w:rPr>
        <w:t>；</w:t>
      </w:r>
      <w:r>
        <w:rPr>
          <w:rFonts w:hint="default" w:ascii="Times New Roman" w:hAnsi="Times New Roman" w:eastAsia="仿宋_GB2312" w:cs="Times New Roman"/>
          <w:snapToGrid/>
          <w:kern w:val="2"/>
          <w:sz w:val="32"/>
          <w:szCs w:val="32"/>
          <w:highlight w:val="none"/>
          <w:lang w:val="en-US" w:eastAsia="zh-CN" w:bidi="ar-SA"/>
        </w:rPr>
        <w:t>主要包括：在职人员定额公用经费和公务用车补贴等。</w:t>
      </w:r>
    </w:p>
    <w:p w14:paraId="3E42BF79">
      <w:pPr>
        <w:keepNext w:val="0"/>
        <w:keepLines w:val="0"/>
        <w:pageBreakBefore w:val="0"/>
        <w:widowControl w:val="0"/>
        <w:kinsoku/>
        <w:wordWrap/>
        <w:overflowPunct/>
        <w:topLinePunct w:val="0"/>
        <w:autoSpaceDE/>
        <w:autoSpaceDN/>
        <w:bidi w:val="0"/>
        <w:adjustRightInd/>
        <w:snapToGrid/>
        <w:spacing w:line="560" w:lineRule="exact"/>
        <w:ind w:left="0" w:right="0" w:firstLine="640"/>
        <w:jc w:val="both"/>
        <w:textAlignment w:val="auto"/>
        <w:rPr>
          <w:rFonts w:hint="default" w:ascii="Times New Roman" w:hAnsi="Times New Roman" w:eastAsia="仿宋_GB2312" w:cs="Times New Roman"/>
          <w:snapToGrid/>
          <w:kern w:val="2"/>
          <w:sz w:val="32"/>
          <w:szCs w:val="32"/>
          <w:highlight w:val="none"/>
          <w:lang w:val="en-US" w:eastAsia="zh-CN" w:bidi="ar-SA"/>
        </w:rPr>
      </w:pPr>
      <w:r>
        <w:rPr>
          <w:rFonts w:hint="default" w:ascii="Times New Roman" w:hAnsi="Times New Roman" w:eastAsia="仿宋_GB2312" w:cs="Times New Roman"/>
          <w:snapToGrid/>
          <w:kern w:val="2"/>
          <w:sz w:val="32"/>
          <w:szCs w:val="32"/>
          <w:highlight w:val="none"/>
          <w:lang w:val="en-US" w:eastAsia="zh-CN" w:bidi="ar-SA"/>
        </w:rPr>
        <w:t>按照《财政部关于印发&lt;支出经济分类科目改革方案&gt;的通知》</w:t>
      </w:r>
      <w:r>
        <w:rPr>
          <w:rFonts w:hint="eastAsia" w:ascii="Times New Roman" w:hAnsi="Times New Roman" w:eastAsia="仿宋_GB2312" w:cs="Times New Roman"/>
          <w:snapToGrid/>
          <w:kern w:val="2"/>
          <w:sz w:val="32"/>
          <w:szCs w:val="32"/>
          <w:highlight w:val="none"/>
          <w:lang w:val="en-US" w:eastAsia="zh-CN" w:bidi="ar-SA"/>
        </w:rPr>
        <w:t>（</w:t>
      </w:r>
      <w:r>
        <w:rPr>
          <w:rFonts w:hint="default" w:ascii="Times New Roman" w:hAnsi="Times New Roman" w:eastAsia="仿宋_GB2312" w:cs="Times New Roman"/>
          <w:snapToGrid/>
          <w:kern w:val="2"/>
          <w:sz w:val="32"/>
          <w:szCs w:val="32"/>
          <w:highlight w:val="none"/>
          <w:lang w:val="en-US" w:eastAsia="zh-CN" w:bidi="ar-SA"/>
        </w:rPr>
        <w:t>财预〔2017〕98号</w:t>
      </w:r>
      <w:r>
        <w:rPr>
          <w:rFonts w:hint="eastAsia" w:ascii="Times New Roman" w:hAnsi="Times New Roman" w:eastAsia="仿宋_GB2312" w:cs="Times New Roman"/>
          <w:snapToGrid/>
          <w:kern w:val="2"/>
          <w:sz w:val="32"/>
          <w:szCs w:val="32"/>
          <w:highlight w:val="none"/>
          <w:lang w:val="en-US" w:eastAsia="zh-CN" w:bidi="ar-SA"/>
        </w:rPr>
        <w:t>）</w:t>
      </w:r>
      <w:r>
        <w:rPr>
          <w:rFonts w:hint="default" w:ascii="Times New Roman" w:hAnsi="Times New Roman" w:eastAsia="仿宋_GB2312" w:cs="Times New Roman"/>
          <w:snapToGrid/>
          <w:kern w:val="2"/>
          <w:sz w:val="32"/>
          <w:szCs w:val="32"/>
          <w:highlight w:val="none"/>
          <w:lang w:val="en-US" w:eastAsia="zh-CN" w:bidi="ar-SA"/>
        </w:rPr>
        <w:t>要求，从2018年起全面实施支出经济分类科目改革，根据政府预算管理和部门预算管理的不同特点，分设部门预算支出经济分类科目和政府预算支出经济分类科目，两套科目之间保持对应关系。为适应改革要求，我单位《支出经济分类汇总表》按两套经济分类科目分别反映不同资金来源的全部预算支出。</w:t>
      </w:r>
    </w:p>
    <w:p w14:paraId="6DE8E5CE">
      <w:pPr>
        <w:keepNext w:val="0"/>
        <w:keepLines w:val="0"/>
        <w:pageBreakBefore w:val="0"/>
        <w:widowControl w:val="0"/>
        <w:kinsoku w:val="0"/>
        <w:wordWrap/>
        <w:overflowPunct/>
        <w:topLinePunct w:val="0"/>
        <w:autoSpaceDE w:val="0"/>
        <w:autoSpaceDN w:val="0"/>
        <w:bidi w:val="0"/>
        <w:adjustRightInd w:val="0"/>
        <w:snapToGrid w:val="0"/>
        <w:spacing w:line="560" w:lineRule="exact"/>
        <w:ind w:right="0" w:firstLine="624" w:firstLineChars="200"/>
        <w:jc w:val="both"/>
        <w:textAlignment w:val="baseline"/>
        <w:rPr>
          <w:rFonts w:ascii="黑体" w:hAnsi="黑体" w:eastAsia="黑体" w:cs="黑体"/>
          <w:sz w:val="32"/>
          <w:szCs w:val="32"/>
        </w:rPr>
      </w:pPr>
      <w:r>
        <w:rPr>
          <w:rFonts w:hint="eastAsia" w:ascii="黑体" w:hAnsi="黑体" w:eastAsia="黑体" w:cs="黑体"/>
          <w:spacing w:val="-4"/>
          <w:sz w:val="32"/>
          <w:szCs w:val="32"/>
          <w:lang w:val="en-US" w:eastAsia="zh-CN"/>
        </w:rPr>
        <w:t>七</w:t>
      </w:r>
      <w:r>
        <w:rPr>
          <w:rFonts w:ascii="黑体" w:hAnsi="黑体" w:eastAsia="黑体" w:cs="黑体"/>
          <w:spacing w:val="-4"/>
          <w:sz w:val="32"/>
          <w:szCs w:val="32"/>
        </w:rPr>
        <w:t>、“三公”经费支出预算情况说明</w:t>
      </w:r>
    </w:p>
    <w:p w14:paraId="3A1D67B5">
      <w:pPr>
        <w:keepNext w:val="0"/>
        <w:keepLines w:val="0"/>
        <w:pageBreakBefore w:val="0"/>
        <w:widowControl w:val="0"/>
        <w:kinsoku/>
        <w:wordWrap/>
        <w:overflowPunct/>
        <w:topLinePunct w:val="0"/>
        <w:autoSpaceDE/>
        <w:autoSpaceDN/>
        <w:bidi w:val="0"/>
        <w:adjustRightInd/>
        <w:snapToGrid/>
        <w:spacing w:line="560" w:lineRule="exact"/>
        <w:ind w:left="0" w:right="0" w:firstLine="640"/>
        <w:jc w:val="both"/>
        <w:textAlignment w:val="auto"/>
        <w:rPr>
          <w:rFonts w:hint="default" w:ascii="Times New Roman" w:hAnsi="Times New Roman" w:eastAsia="仿宋_GB2312" w:cs="Times New Roman"/>
          <w:snapToGrid/>
          <w:kern w:val="2"/>
          <w:sz w:val="32"/>
          <w:szCs w:val="32"/>
          <w:highlight w:val="none"/>
          <w:lang w:val="en-US" w:eastAsia="zh-CN" w:bidi="ar-SA"/>
        </w:rPr>
      </w:pPr>
      <w:r>
        <w:rPr>
          <w:rFonts w:hint="default" w:ascii="Times New Roman" w:hAnsi="Times New Roman" w:eastAsia="仿宋_GB2312" w:cs="Times New Roman"/>
          <w:snapToGrid/>
          <w:kern w:val="2"/>
          <w:sz w:val="32"/>
          <w:szCs w:val="32"/>
          <w:highlight w:val="none"/>
          <w:lang w:val="en-US" w:eastAsia="zh-CN" w:bidi="ar-SA"/>
        </w:rPr>
        <w:t>三门峡市城乡一体化示范区</w:t>
      </w:r>
      <w:r>
        <w:rPr>
          <w:rFonts w:hint="eastAsia" w:ascii="Times New Roman" w:hAnsi="Times New Roman" w:eastAsia="仿宋_GB2312" w:cs="Times New Roman"/>
          <w:snapToGrid/>
          <w:kern w:val="2"/>
          <w:sz w:val="32"/>
          <w:szCs w:val="32"/>
          <w:highlight w:val="none"/>
          <w:lang w:val="en-US" w:eastAsia="zh-CN" w:bidi="ar-SA"/>
        </w:rPr>
        <w:t>党政</w:t>
      </w:r>
      <w:r>
        <w:rPr>
          <w:rFonts w:hint="default" w:ascii="Times New Roman" w:hAnsi="Times New Roman" w:eastAsia="仿宋_GB2312" w:cs="Times New Roman"/>
          <w:snapToGrid/>
          <w:kern w:val="2"/>
          <w:sz w:val="32"/>
          <w:szCs w:val="32"/>
          <w:highlight w:val="none"/>
          <w:lang w:val="en-US" w:eastAsia="zh-CN" w:bidi="ar-SA"/>
        </w:rPr>
        <w:t>办公室2026年</w:t>
      </w:r>
      <w:r>
        <w:rPr>
          <w:rFonts w:hint="eastAsia" w:ascii="仿宋_GB2312" w:hAnsi="仿宋_GB2312" w:eastAsia="仿宋_GB2312" w:cs="仿宋_GB2312"/>
          <w:snapToGrid/>
          <w:kern w:val="2"/>
          <w:sz w:val="32"/>
          <w:szCs w:val="32"/>
          <w:highlight w:val="none"/>
          <w:lang w:val="en-US" w:eastAsia="zh-CN" w:bidi="ar-SA"/>
        </w:rPr>
        <w:t>“三公”</w:t>
      </w:r>
      <w:r>
        <w:rPr>
          <w:rFonts w:hint="default" w:ascii="Times New Roman" w:hAnsi="Times New Roman" w:eastAsia="仿宋_GB2312" w:cs="Times New Roman"/>
          <w:snapToGrid/>
          <w:kern w:val="2"/>
          <w:sz w:val="32"/>
          <w:szCs w:val="32"/>
          <w:highlight w:val="none"/>
          <w:lang w:val="en-US" w:eastAsia="zh-CN" w:bidi="ar-SA"/>
        </w:rPr>
        <w:t>经费预算为47.5万元。2026年</w:t>
      </w:r>
      <w:r>
        <w:rPr>
          <w:rFonts w:hint="eastAsia" w:ascii="仿宋_GB2312" w:hAnsi="仿宋_GB2312" w:eastAsia="仿宋_GB2312" w:cs="仿宋_GB2312"/>
          <w:snapToGrid/>
          <w:kern w:val="2"/>
          <w:sz w:val="32"/>
          <w:szCs w:val="32"/>
          <w:highlight w:val="none"/>
          <w:lang w:val="en-US" w:eastAsia="zh-CN" w:bidi="ar-SA"/>
        </w:rPr>
        <w:t>“三公”</w:t>
      </w:r>
      <w:r>
        <w:rPr>
          <w:rFonts w:hint="default" w:ascii="Times New Roman" w:hAnsi="Times New Roman" w:eastAsia="仿宋_GB2312" w:cs="Times New Roman"/>
          <w:snapToGrid/>
          <w:kern w:val="2"/>
          <w:sz w:val="32"/>
          <w:szCs w:val="32"/>
          <w:highlight w:val="none"/>
          <w:lang w:val="en-US" w:eastAsia="zh-CN" w:bidi="ar-SA"/>
        </w:rPr>
        <w:t>经费支出预算数较2025年持平，主要原因是：保持必要合理支出。</w:t>
      </w:r>
    </w:p>
    <w:p w14:paraId="5BAA8B28">
      <w:pPr>
        <w:keepNext w:val="0"/>
        <w:keepLines w:val="0"/>
        <w:pageBreakBefore w:val="0"/>
        <w:widowControl w:val="0"/>
        <w:kinsoku/>
        <w:wordWrap/>
        <w:overflowPunct/>
        <w:topLinePunct w:val="0"/>
        <w:autoSpaceDE/>
        <w:autoSpaceDN/>
        <w:bidi w:val="0"/>
        <w:adjustRightInd/>
        <w:snapToGrid/>
        <w:spacing w:line="560" w:lineRule="exact"/>
        <w:ind w:right="0"/>
        <w:jc w:val="both"/>
        <w:textAlignment w:val="auto"/>
        <w:rPr>
          <w:rFonts w:hint="eastAsia" w:ascii="仿宋_GB2312" w:hAnsi="Calibri" w:eastAsia="仿宋_GB2312" w:cs="Times New Roman"/>
          <w:snapToGrid/>
          <w:kern w:val="2"/>
          <w:sz w:val="32"/>
          <w:szCs w:val="32"/>
          <w:highlight w:val="none"/>
          <w:lang w:val="en-US" w:eastAsia="zh-CN" w:bidi="ar-SA"/>
        </w:rPr>
      </w:pPr>
      <w:r>
        <w:rPr>
          <w:rFonts w:hint="eastAsia" w:ascii="仿宋_GB2312" w:hAnsi="Calibri" w:eastAsia="仿宋_GB2312" w:cs="Times New Roman"/>
          <w:snapToGrid/>
          <w:kern w:val="2"/>
          <w:sz w:val="32"/>
          <w:szCs w:val="32"/>
          <w:highlight w:val="none"/>
          <w:lang w:val="en-US" w:eastAsia="zh-CN" w:bidi="ar-SA"/>
        </w:rPr>
        <w:t>具体支出情况如下：</w:t>
      </w:r>
    </w:p>
    <w:p w14:paraId="729443AC">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both"/>
        <w:textAlignment w:val="auto"/>
        <w:rPr>
          <w:rFonts w:hint="default" w:ascii="Times New Roman" w:hAnsi="Times New Roman" w:eastAsia="仿宋_GB2312" w:cs="Times New Roman"/>
          <w:snapToGrid/>
          <w:kern w:val="2"/>
          <w:sz w:val="32"/>
          <w:szCs w:val="32"/>
          <w:highlight w:val="none"/>
          <w:lang w:val="en-US" w:eastAsia="zh-CN" w:bidi="ar-SA"/>
        </w:rPr>
      </w:pPr>
      <w:r>
        <w:rPr>
          <w:rFonts w:hint="default" w:ascii="Times New Roman" w:hAnsi="Times New Roman" w:eastAsia="仿宋_GB2312" w:cs="Times New Roman"/>
          <w:snapToGrid/>
          <w:kern w:val="2"/>
          <w:sz w:val="32"/>
          <w:szCs w:val="32"/>
          <w:highlight w:val="none"/>
          <w:lang w:val="en-US" w:eastAsia="zh-CN" w:bidi="ar-SA"/>
        </w:rPr>
        <w:t>（一）因公出国（境）费0.00万元，主要用于单位工作人员公务出国（境）的住宿费、旅费、伙食补助费、杂费、培训费等支出。预算数较2025年持平，主要原因是：我单位无因公出国业务。</w:t>
      </w:r>
    </w:p>
    <w:p w14:paraId="1F9613C4">
      <w:pPr>
        <w:keepNext w:val="0"/>
        <w:keepLines w:val="0"/>
        <w:pageBreakBefore w:val="0"/>
        <w:widowControl w:val="0"/>
        <w:kinsoku/>
        <w:wordWrap/>
        <w:overflowPunct/>
        <w:topLinePunct w:val="0"/>
        <w:autoSpaceDE/>
        <w:autoSpaceDN/>
        <w:bidi w:val="0"/>
        <w:adjustRightInd/>
        <w:snapToGrid/>
        <w:spacing w:line="560" w:lineRule="exact"/>
        <w:ind w:left="0" w:right="0" w:firstLine="640"/>
        <w:jc w:val="both"/>
        <w:textAlignment w:val="auto"/>
        <w:rPr>
          <w:rFonts w:hint="default" w:ascii="Times New Roman" w:hAnsi="Times New Roman" w:eastAsia="仿宋_GB2312" w:cs="Times New Roman"/>
          <w:snapToGrid/>
          <w:kern w:val="2"/>
          <w:sz w:val="32"/>
          <w:szCs w:val="32"/>
          <w:highlight w:val="none"/>
          <w:lang w:val="en-US" w:eastAsia="zh-CN" w:bidi="ar-SA"/>
        </w:rPr>
      </w:pPr>
      <w:r>
        <w:rPr>
          <w:rFonts w:hint="default" w:ascii="Times New Roman" w:hAnsi="Times New Roman" w:eastAsia="仿宋_GB2312" w:cs="Times New Roman"/>
          <w:snapToGrid/>
          <w:kern w:val="2"/>
          <w:sz w:val="32"/>
          <w:szCs w:val="32"/>
          <w:highlight w:val="none"/>
          <w:lang w:val="en-US" w:eastAsia="zh-CN" w:bidi="ar-SA"/>
        </w:rPr>
        <w:t>（二）公务接待费0万元，主要用于按规定开支的各类公务接待（含外宾接待）支出。预算数较2025年持平。主要原因是：无此项支出。</w:t>
      </w:r>
    </w:p>
    <w:p w14:paraId="4CF9A6B3">
      <w:pPr>
        <w:keepNext w:val="0"/>
        <w:keepLines w:val="0"/>
        <w:pageBreakBefore w:val="0"/>
        <w:widowControl w:val="0"/>
        <w:kinsoku/>
        <w:wordWrap/>
        <w:overflowPunct/>
        <w:topLinePunct w:val="0"/>
        <w:autoSpaceDE/>
        <w:autoSpaceDN/>
        <w:bidi w:val="0"/>
        <w:adjustRightInd/>
        <w:snapToGrid/>
        <w:spacing w:line="560" w:lineRule="exact"/>
        <w:ind w:left="0" w:right="0" w:firstLine="640"/>
        <w:jc w:val="both"/>
        <w:textAlignment w:val="auto"/>
        <w:rPr>
          <w:rFonts w:hint="default" w:ascii="Times New Roman" w:hAnsi="Times New Roman" w:eastAsia="仿宋_GB2312" w:cs="Times New Roman"/>
          <w:snapToGrid/>
          <w:kern w:val="2"/>
          <w:sz w:val="32"/>
          <w:szCs w:val="32"/>
          <w:highlight w:val="none"/>
          <w:lang w:val="en-US" w:eastAsia="zh-CN" w:bidi="ar-SA"/>
        </w:rPr>
      </w:pPr>
      <w:r>
        <w:rPr>
          <w:rFonts w:hint="default" w:ascii="Times New Roman" w:hAnsi="Times New Roman" w:eastAsia="仿宋_GB2312" w:cs="Times New Roman"/>
          <w:snapToGrid/>
          <w:kern w:val="2"/>
          <w:sz w:val="32"/>
          <w:szCs w:val="32"/>
          <w:highlight w:val="none"/>
          <w:lang w:val="en-US" w:eastAsia="zh-CN" w:bidi="ar-SA"/>
        </w:rPr>
        <w:t>（三）公务用车购置及运行费47.5万元，其中，公务用车购置费0万元，主要用于单位公务用车购置支出（含车辆购置税、牌照费）</w:t>
      </w:r>
      <w:r>
        <w:rPr>
          <w:rFonts w:hint="eastAsia" w:ascii="Times New Roman" w:hAnsi="Times New Roman" w:eastAsia="仿宋_GB2312" w:cs="Times New Roman"/>
          <w:snapToGrid/>
          <w:kern w:val="2"/>
          <w:sz w:val="32"/>
          <w:szCs w:val="32"/>
          <w:highlight w:val="none"/>
          <w:lang w:val="en-US" w:eastAsia="zh-CN" w:bidi="ar-SA"/>
        </w:rPr>
        <w:t>，</w:t>
      </w:r>
      <w:r>
        <w:rPr>
          <w:rFonts w:hint="default" w:ascii="Times New Roman" w:hAnsi="Times New Roman" w:eastAsia="仿宋_GB2312" w:cs="Times New Roman"/>
          <w:snapToGrid/>
          <w:kern w:val="2"/>
          <w:sz w:val="32"/>
          <w:szCs w:val="32"/>
          <w:highlight w:val="none"/>
          <w:lang w:val="en-US" w:eastAsia="zh-CN" w:bidi="ar-SA"/>
        </w:rPr>
        <w:t>较2025年持平，主要原因是：无此项支出；公务用车运行维护费47.5万元，主要用于开展工作所需公务用车的燃料费、维修费、过路过桥费、保险费、安全奖励费用等支出，较2025年持平，主要原因是：保持必要合理支出。</w:t>
      </w:r>
    </w:p>
    <w:p w14:paraId="02E9D2CA">
      <w:pPr>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24" w:firstLineChars="200"/>
        <w:jc w:val="both"/>
        <w:textAlignment w:val="baseline"/>
        <w:rPr>
          <w:rFonts w:ascii="黑体" w:hAnsi="黑体" w:eastAsia="黑体" w:cs="黑体"/>
          <w:sz w:val="32"/>
          <w:szCs w:val="32"/>
        </w:rPr>
      </w:pPr>
      <w:r>
        <w:rPr>
          <w:rFonts w:hint="eastAsia" w:ascii="黑体" w:hAnsi="黑体" w:eastAsia="黑体" w:cs="黑体"/>
          <w:spacing w:val="-4"/>
          <w:sz w:val="32"/>
          <w:szCs w:val="32"/>
          <w:lang w:val="en-US" w:eastAsia="zh-CN"/>
        </w:rPr>
        <w:t>八</w:t>
      </w:r>
      <w:r>
        <w:rPr>
          <w:rFonts w:ascii="黑体" w:hAnsi="黑体" w:eastAsia="黑体" w:cs="黑体"/>
          <w:spacing w:val="-4"/>
          <w:sz w:val="32"/>
          <w:szCs w:val="32"/>
        </w:rPr>
        <w:t>、政府性基金预算支出预算情况说明</w:t>
      </w:r>
    </w:p>
    <w:p w14:paraId="71604BD8">
      <w:pPr>
        <w:keepNext w:val="0"/>
        <w:keepLines w:val="0"/>
        <w:pageBreakBefore w:val="0"/>
        <w:widowControl w:val="0"/>
        <w:kinsoku/>
        <w:wordWrap/>
        <w:overflowPunct/>
        <w:topLinePunct w:val="0"/>
        <w:autoSpaceDE/>
        <w:autoSpaceDN/>
        <w:bidi w:val="0"/>
        <w:adjustRightInd/>
        <w:snapToGrid/>
        <w:spacing w:line="560" w:lineRule="exact"/>
        <w:ind w:left="0" w:right="0" w:firstLine="640"/>
        <w:jc w:val="both"/>
        <w:textAlignment w:val="auto"/>
        <w:rPr>
          <w:rFonts w:hint="default" w:ascii="Times New Roman" w:hAnsi="Times New Roman" w:eastAsia="仿宋_GB2312" w:cs="Times New Roman"/>
          <w:snapToGrid/>
          <w:kern w:val="2"/>
          <w:sz w:val="32"/>
          <w:szCs w:val="32"/>
          <w:highlight w:val="none"/>
          <w:lang w:val="en-US" w:eastAsia="zh-CN" w:bidi="ar-SA"/>
        </w:rPr>
      </w:pPr>
      <w:r>
        <w:rPr>
          <w:rFonts w:hint="default" w:ascii="Times New Roman" w:hAnsi="Times New Roman" w:eastAsia="仿宋_GB2312" w:cs="Times New Roman"/>
          <w:snapToGrid/>
          <w:kern w:val="2"/>
          <w:sz w:val="32"/>
          <w:szCs w:val="32"/>
          <w:highlight w:val="none"/>
          <w:lang w:val="en-US" w:eastAsia="zh-CN" w:bidi="ar-SA"/>
        </w:rPr>
        <w:t>三门峡市城乡一体化示范区</w:t>
      </w:r>
      <w:r>
        <w:rPr>
          <w:rFonts w:hint="eastAsia" w:ascii="Times New Roman" w:hAnsi="Times New Roman" w:eastAsia="仿宋_GB2312" w:cs="Times New Roman"/>
          <w:snapToGrid/>
          <w:kern w:val="2"/>
          <w:sz w:val="32"/>
          <w:szCs w:val="32"/>
          <w:highlight w:val="none"/>
          <w:lang w:val="en-US" w:eastAsia="zh-CN" w:bidi="ar-SA"/>
        </w:rPr>
        <w:t>党政</w:t>
      </w:r>
      <w:r>
        <w:rPr>
          <w:rFonts w:hint="default" w:ascii="Times New Roman" w:hAnsi="Times New Roman" w:eastAsia="仿宋_GB2312" w:cs="Times New Roman"/>
          <w:snapToGrid/>
          <w:kern w:val="2"/>
          <w:sz w:val="32"/>
          <w:szCs w:val="32"/>
          <w:highlight w:val="none"/>
          <w:lang w:val="en-US" w:eastAsia="zh-CN" w:bidi="ar-SA"/>
        </w:rPr>
        <w:t>办公室2026年无政府性基金收支预算。</w:t>
      </w:r>
    </w:p>
    <w:p w14:paraId="5985A775">
      <w:pPr>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24" w:firstLineChars="200"/>
        <w:jc w:val="both"/>
        <w:textAlignment w:val="baseline"/>
        <w:rPr>
          <w:rFonts w:hint="default" w:ascii="Arial" w:hAnsi="Arial" w:eastAsia="Arial" w:cs="Arial"/>
          <w:snapToGrid w:val="0"/>
          <w:color w:val="000000"/>
          <w:kern w:val="0"/>
          <w:sz w:val="21"/>
          <w:szCs w:val="21"/>
          <w:lang w:val="en-US" w:eastAsia="en-US" w:bidi="ar-SA"/>
        </w:rPr>
      </w:pPr>
      <w:r>
        <w:rPr>
          <w:rFonts w:hint="eastAsia" w:ascii="Times New Roman" w:hAnsi="Times New Roman" w:eastAsia="黑体" w:cs="Times New Roman"/>
          <w:spacing w:val="-4"/>
          <w:sz w:val="32"/>
          <w:szCs w:val="32"/>
          <w:lang w:val="en-US" w:eastAsia="zh-CN"/>
        </w:rPr>
        <w:t>九</w:t>
      </w:r>
      <w:r>
        <w:rPr>
          <w:rFonts w:hint="default" w:ascii="Times New Roman" w:hAnsi="Times New Roman" w:eastAsia="黑体" w:cs="Times New Roman"/>
          <w:spacing w:val="-4"/>
          <w:sz w:val="32"/>
          <w:szCs w:val="32"/>
        </w:rPr>
        <w:t>、其他重要事项的情况说明</w:t>
      </w:r>
    </w:p>
    <w:p w14:paraId="02D06A50">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both"/>
        <w:textAlignment w:val="auto"/>
        <w:rPr>
          <w:rFonts w:hint="default" w:ascii="Times New Roman" w:hAnsi="Times New Roman" w:eastAsia="仿宋_GB2312" w:cs="Times New Roman"/>
          <w:snapToGrid/>
          <w:kern w:val="2"/>
          <w:sz w:val="32"/>
          <w:szCs w:val="32"/>
          <w:highlight w:val="none"/>
          <w:lang w:val="en-US" w:eastAsia="zh-CN" w:bidi="ar-SA"/>
        </w:rPr>
      </w:pPr>
      <w:r>
        <w:rPr>
          <w:rFonts w:hint="default" w:ascii="Times New Roman" w:hAnsi="Times New Roman" w:eastAsia="仿宋_GB2312" w:cs="Times New Roman"/>
          <w:snapToGrid/>
          <w:kern w:val="2"/>
          <w:sz w:val="32"/>
          <w:szCs w:val="32"/>
          <w:highlight w:val="none"/>
          <w:lang w:val="en-US" w:eastAsia="zh-CN" w:bidi="ar-SA"/>
        </w:rPr>
        <w:t>（一）机构运行经费支出情况</w:t>
      </w:r>
    </w:p>
    <w:p w14:paraId="640FF8FD">
      <w:pPr>
        <w:keepNext w:val="0"/>
        <w:keepLines w:val="0"/>
        <w:pageBreakBefore w:val="0"/>
        <w:widowControl w:val="0"/>
        <w:kinsoku/>
        <w:wordWrap/>
        <w:overflowPunct/>
        <w:topLinePunct w:val="0"/>
        <w:autoSpaceDE/>
        <w:autoSpaceDN/>
        <w:bidi w:val="0"/>
        <w:adjustRightInd/>
        <w:snapToGrid/>
        <w:spacing w:line="560" w:lineRule="exact"/>
        <w:ind w:left="0" w:right="0" w:firstLine="640"/>
        <w:jc w:val="both"/>
        <w:textAlignment w:val="auto"/>
        <w:rPr>
          <w:rFonts w:hint="default" w:ascii="Times New Roman" w:hAnsi="Times New Roman" w:eastAsia="仿宋_GB2312" w:cs="Times New Roman"/>
          <w:snapToGrid/>
          <w:kern w:val="2"/>
          <w:sz w:val="32"/>
          <w:szCs w:val="32"/>
          <w:highlight w:val="none"/>
          <w:lang w:val="en-US" w:eastAsia="zh-CN" w:bidi="ar-SA"/>
        </w:rPr>
      </w:pPr>
      <w:r>
        <w:rPr>
          <w:rFonts w:hint="default" w:ascii="Times New Roman" w:hAnsi="Times New Roman" w:eastAsia="仿宋_GB2312" w:cs="Times New Roman"/>
          <w:snapToGrid/>
          <w:kern w:val="2"/>
          <w:sz w:val="32"/>
          <w:szCs w:val="32"/>
          <w:highlight w:val="none"/>
          <w:lang w:val="en-US" w:eastAsia="zh-CN" w:bidi="ar-SA"/>
        </w:rPr>
        <w:t>三门峡市城乡一体化示范区</w:t>
      </w:r>
      <w:r>
        <w:rPr>
          <w:rFonts w:hint="eastAsia" w:ascii="Times New Roman" w:hAnsi="Times New Roman" w:eastAsia="仿宋_GB2312" w:cs="Times New Roman"/>
          <w:snapToGrid/>
          <w:kern w:val="2"/>
          <w:sz w:val="32"/>
          <w:szCs w:val="32"/>
          <w:highlight w:val="none"/>
          <w:lang w:val="en-US" w:eastAsia="zh-CN" w:bidi="ar-SA"/>
        </w:rPr>
        <w:t>党政</w:t>
      </w:r>
      <w:r>
        <w:rPr>
          <w:rFonts w:hint="default" w:ascii="Times New Roman" w:hAnsi="Times New Roman" w:eastAsia="仿宋_GB2312" w:cs="Times New Roman"/>
          <w:snapToGrid/>
          <w:kern w:val="2"/>
          <w:sz w:val="32"/>
          <w:szCs w:val="32"/>
          <w:highlight w:val="none"/>
          <w:lang w:val="en-US" w:eastAsia="zh-CN" w:bidi="ar-SA"/>
        </w:rPr>
        <w:t>办公室2026年机构运行经费支出预算65.04万元，主要保障机构正常运转及正常履职需要，较2025年减少5.16万元，下降7.36%</w:t>
      </w:r>
      <w:r>
        <w:rPr>
          <w:rFonts w:hint="eastAsia" w:ascii="Times New Roman" w:hAnsi="Times New Roman" w:eastAsia="仿宋_GB2312" w:cs="Times New Roman"/>
          <w:snapToGrid/>
          <w:kern w:val="2"/>
          <w:sz w:val="32"/>
          <w:szCs w:val="32"/>
          <w:highlight w:val="none"/>
          <w:lang w:val="en-US" w:eastAsia="zh-CN" w:bidi="ar-SA"/>
        </w:rPr>
        <w:t>，</w:t>
      </w:r>
      <w:r>
        <w:rPr>
          <w:rFonts w:hint="default" w:ascii="Times New Roman" w:hAnsi="Times New Roman" w:eastAsia="仿宋_GB2312" w:cs="Times New Roman"/>
          <w:snapToGrid/>
          <w:kern w:val="2"/>
          <w:sz w:val="32"/>
          <w:szCs w:val="32"/>
          <w:highlight w:val="none"/>
          <w:lang w:val="en-US" w:eastAsia="zh-CN" w:bidi="ar-SA"/>
        </w:rPr>
        <w:t>主要原因是：厉行节约，压缩机构运行经费支出。</w:t>
      </w:r>
    </w:p>
    <w:p w14:paraId="1E96F1EB">
      <w:pPr>
        <w:keepNext w:val="0"/>
        <w:keepLines w:val="0"/>
        <w:pageBreakBefore w:val="0"/>
        <w:widowControl w:val="0"/>
        <w:kinsoku/>
        <w:wordWrap/>
        <w:overflowPunct/>
        <w:topLinePunct w:val="0"/>
        <w:autoSpaceDE/>
        <w:autoSpaceDN/>
        <w:bidi w:val="0"/>
        <w:adjustRightInd/>
        <w:snapToGrid/>
        <w:spacing w:line="560" w:lineRule="exact"/>
        <w:ind w:left="0" w:right="0" w:firstLine="640"/>
        <w:jc w:val="both"/>
        <w:textAlignment w:val="auto"/>
        <w:rPr>
          <w:rFonts w:hint="default" w:ascii="Times New Roman" w:hAnsi="Times New Roman" w:eastAsia="仿宋_GB2312" w:cs="Times New Roman"/>
          <w:snapToGrid/>
          <w:kern w:val="2"/>
          <w:sz w:val="32"/>
          <w:szCs w:val="32"/>
          <w:highlight w:val="none"/>
          <w:lang w:val="en-US" w:eastAsia="zh-CN" w:bidi="ar-SA"/>
        </w:rPr>
      </w:pPr>
      <w:r>
        <w:rPr>
          <w:rFonts w:hint="default" w:ascii="Times New Roman" w:hAnsi="Times New Roman" w:eastAsia="仿宋_GB2312" w:cs="Times New Roman"/>
          <w:snapToGrid/>
          <w:kern w:val="2"/>
          <w:sz w:val="32"/>
          <w:szCs w:val="32"/>
          <w:highlight w:val="none"/>
          <w:lang w:val="en-US" w:eastAsia="zh-CN" w:bidi="ar-SA"/>
        </w:rPr>
        <w:t>（二）政府采购支出情况</w:t>
      </w:r>
    </w:p>
    <w:p w14:paraId="62BC427E">
      <w:pPr>
        <w:keepNext w:val="0"/>
        <w:keepLines w:val="0"/>
        <w:pageBreakBefore w:val="0"/>
        <w:widowControl w:val="0"/>
        <w:kinsoku/>
        <w:wordWrap/>
        <w:overflowPunct/>
        <w:topLinePunct w:val="0"/>
        <w:autoSpaceDE/>
        <w:autoSpaceDN/>
        <w:bidi w:val="0"/>
        <w:adjustRightInd/>
        <w:snapToGrid/>
        <w:spacing w:line="560" w:lineRule="exact"/>
        <w:ind w:left="0" w:right="0" w:firstLine="640"/>
        <w:jc w:val="both"/>
        <w:textAlignment w:val="auto"/>
        <w:rPr>
          <w:rFonts w:hint="default" w:ascii="Times New Roman" w:hAnsi="Times New Roman" w:eastAsia="仿宋_GB2312" w:cs="Times New Roman"/>
          <w:snapToGrid/>
          <w:kern w:val="2"/>
          <w:sz w:val="32"/>
          <w:szCs w:val="32"/>
          <w:highlight w:val="none"/>
          <w:lang w:val="en-US" w:eastAsia="zh-CN" w:bidi="ar-SA"/>
        </w:rPr>
      </w:pPr>
      <w:r>
        <w:rPr>
          <w:rFonts w:hint="default" w:ascii="Times New Roman" w:hAnsi="Times New Roman" w:eastAsia="仿宋_GB2312" w:cs="Times New Roman"/>
          <w:snapToGrid/>
          <w:kern w:val="2"/>
          <w:sz w:val="32"/>
          <w:szCs w:val="32"/>
          <w:highlight w:val="none"/>
          <w:lang w:val="en-US" w:eastAsia="zh-CN" w:bidi="ar-SA"/>
        </w:rPr>
        <w:t>2026年我单位政府采购预算安排0万元，其中：政府采购货物预算0万元、政府采购工程预算0万元、政府采购服务预算0万元。</w:t>
      </w:r>
    </w:p>
    <w:p w14:paraId="5F8E746E">
      <w:pPr>
        <w:keepNext w:val="0"/>
        <w:keepLines w:val="0"/>
        <w:pageBreakBefore w:val="0"/>
        <w:widowControl w:val="0"/>
        <w:kinsoku/>
        <w:wordWrap/>
        <w:overflowPunct/>
        <w:topLinePunct w:val="0"/>
        <w:autoSpaceDE/>
        <w:autoSpaceDN/>
        <w:bidi w:val="0"/>
        <w:adjustRightInd/>
        <w:snapToGrid/>
        <w:spacing w:line="560" w:lineRule="exact"/>
        <w:ind w:left="0" w:right="0" w:firstLine="640"/>
        <w:jc w:val="both"/>
        <w:textAlignment w:val="auto"/>
        <w:rPr>
          <w:rFonts w:hint="default" w:ascii="Times New Roman" w:hAnsi="Times New Roman" w:eastAsia="仿宋_GB2312" w:cs="Times New Roman"/>
          <w:snapToGrid/>
          <w:kern w:val="2"/>
          <w:sz w:val="32"/>
          <w:szCs w:val="32"/>
          <w:highlight w:val="none"/>
          <w:lang w:val="en-US" w:eastAsia="zh-CN" w:bidi="ar-SA"/>
        </w:rPr>
      </w:pPr>
      <w:r>
        <w:rPr>
          <w:rFonts w:hint="default" w:ascii="Times New Roman" w:hAnsi="Times New Roman" w:eastAsia="仿宋_GB2312" w:cs="Times New Roman"/>
          <w:snapToGrid/>
          <w:kern w:val="2"/>
          <w:sz w:val="32"/>
          <w:szCs w:val="32"/>
          <w:highlight w:val="none"/>
          <w:lang w:val="en-US" w:eastAsia="zh-CN" w:bidi="ar-SA"/>
        </w:rPr>
        <w:t>（三）绩效目标设置情况</w:t>
      </w:r>
    </w:p>
    <w:p w14:paraId="1BD1BD18">
      <w:pPr>
        <w:keepNext w:val="0"/>
        <w:keepLines w:val="0"/>
        <w:pageBreakBefore w:val="0"/>
        <w:widowControl w:val="0"/>
        <w:kinsoku/>
        <w:wordWrap/>
        <w:overflowPunct/>
        <w:topLinePunct w:val="0"/>
        <w:autoSpaceDE/>
        <w:autoSpaceDN/>
        <w:bidi w:val="0"/>
        <w:adjustRightInd/>
        <w:snapToGrid/>
        <w:spacing w:line="560" w:lineRule="exact"/>
        <w:ind w:left="0" w:right="0" w:firstLine="640"/>
        <w:jc w:val="both"/>
        <w:textAlignment w:val="auto"/>
        <w:rPr>
          <w:rFonts w:hint="default" w:ascii="Times New Roman" w:hAnsi="Times New Roman" w:eastAsia="仿宋_GB2312" w:cs="Times New Roman"/>
          <w:snapToGrid/>
          <w:kern w:val="2"/>
          <w:sz w:val="32"/>
          <w:szCs w:val="32"/>
          <w:highlight w:val="none"/>
          <w:lang w:val="en-US" w:eastAsia="zh-CN" w:bidi="ar-SA"/>
        </w:rPr>
      </w:pPr>
      <w:r>
        <w:rPr>
          <w:rFonts w:hint="default" w:ascii="Times New Roman" w:hAnsi="Times New Roman" w:eastAsia="仿宋_GB2312" w:cs="Times New Roman"/>
          <w:snapToGrid/>
          <w:kern w:val="2"/>
          <w:sz w:val="32"/>
          <w:szCs w:val="32"/>
          <w:highlight w:val="none"/>
          <w:lang w:val="en-US" w:eastAsia="zh-CN" w:bidi="ar-SA"/>
        </w:rPr>
        <w:t>我单位2026年预算项目均按要求编制了绩效目标，从项目产出、项目效益、满意度等方面设置了绩效目标，综合反映项目预期完成的数量、实效、质量，预期达到的社会经济效益、可持续影响以及服务对象满意度等情况。</w:t>
      </w:r>
    </w:p>
    <w:p w14:paraId="6E61EC35">
      <w:pPr>
        <w:keepNext w:val="0"/>
        <w:keepLines w:val="0"/>
        <w:pageBreakBefore w:val="0"/>
        <w:widowControl w:val="0"/>
        <w:kinsoku/>
        <w:wordWrap/>
        <w:overflowPunct/>
        <w:topLinePunct w:val="0"/>
        <w:autoSpaceDE/>
        <w:autoSpaceDN/>
        <w:bidi w:val="0"/>
        <w:adjustRightInd/>
        <w:snapToGrid/>
        <w:spacing w:line="560" w:lineRule="exact"/>
        <w:ind w:left="0" w:right="0" w:firstLine="640"/>
        <w:jc w:val="both"/>
        <w:textAlignment w:val="auto"/>
        <w:rPr>
          <w:rFonts w:hint="default" w:ascii="Times New Roman" w:hAnsi="Times New Roman" w:eastAsia="仿宋_GB2312" w:cs="Times New Roman"/>
          <w:snapToGrid/>
          <w:kern w:val="2"/>
          <w:sz w:val="32"/>
          <w:szCs w:val="32"/>
          <w:highlight w:val="none"/>
          <w:lang w:val="en-US" w:eastAsia="zh-CN" w:bidi="ar-SA"/>
        </w:rPr>
      </w:pPr>
      <w:r>
        <w:rPr>
          <w:rFonts w:hint="default" w:ascii="Times New Roman" w:hAnsi="Times New Roman" w:eastAsia="仿宋_GB2312" w:cs="Times New Roman"/>
          <w:snapToGrid/>
          <w:kern w:val="2"/>
          <w:sz w:val="32"/>
          <w:szCs w:val="32"/>
          <w:highlight w:val="none"/>
          <w:lang w:val="en-US" w:eastAsia="zh-CN" w:bidi="ar-SA"/>
        </w:rPr>
        <w:t>2026年，我单位</w:t>
      </w:r>
      <w:r>
        <w:rPr>
          <w:rFonts w:hint="eastAsia" w:ascii="Times New Roman" w:hAnsi="Times New Roman" w:eastAsia="仿宋_GB2312" w:cs="Times New Roman"/>
          <w:snapToGrid/>
          <w:kern w:val="2"/>
          <w:sz w:val="32"/>
          <w:szCs w:val="32"/>
          <w:highlight w:val="none"/>
          <w:lang w:val="en-US" w:eastAsia="zh-CN" w:bidi="ar-SA"/>
        </w:rPr>
        <w:t>对16个项目进行了预防绩效评价，</w:t>
      </w:r>
      <w:r>
        <w:rPr>
          <w:rFonts w:hint="default" w:ascii="Times New Roman" w:hAnsi="Times New Roman" w:eastAsia="仿宋_GB2312" w:cs="Times New Roman"/>
          <w:snapToGrid/>
          <w:kern w:val="2"/>
          <w:sz w:val="32"/>
          <w:szCs w:val="32"/>
          <w:highlight w:val="none"/>
          <w:lang w:val="en-US" w:eastAsia="zh-CN" w:bidi="ar-SA"/>
        </w:rPr>
        <w:t>纳入预算绩效管理的支出总额1,778.81万元，其中人员经费支出669.81万元，公用经费支出65.04万元，支出项目共16个，支出总额1,043.97万元，其中预算支出100万元及100万元以上项目2个，支出总额700.00万元。</w:t>
      </w:r>
    </w:p>
    <w:p w14:paraId="410122A1">
      <w:pPr>
        <w:keepNext w:val="0"/>
        <w:keepLines w:val="0"/>
        <w:pageBreakBefore w:val="0"/>
        <w:widowControl w:val="0"/>
        <w:kinsoku/>
        <w:wordWrap/>
        <w:overflowPunct/>
        <w:topLinePunct w:val="0"/>
        <w:autoSpaceDE/>
        <w:autoSpaceDN/>
        <w:bidi w:val="0"/>
        <w:adjustRightInd/>
        <w:snapToGrid/>
        <w:spacing w:line="560" w:lineRule="exact"/>
        <w:ind w:left="0" w:right="0" w:firstLine="640"/>
        <w:jc w:val="both"/>
        <w:textAlignment w:val="auto"/>
        <w:rPr>
          <w:rFonts w:hint="default" w:ascii="Times New Roman" w:hAnsi="Times New Roman" w:eastAsia="仿宋_GB2312" w:cs="Times New Roman"/>
          <w:snapToGrid/>
          <w:kern w:val="2"/>
          <w:sz w:val="32"/>
          <w:szCs w:val="32"/>
          <w:highlight w:val="none"/>
          <w:lang w:val="en-US" w:eastAsia="zh-CN" w:bidi="ar-SA"/>
        </w:rPr>
      </w:pPr>
      <w:r>
        <w:rPr>
          <w:rFonts w:hint="default" w:ascii="Times New Roman" w:hAnsi="Times New Roman" w:eastAsia="仿宋_GB2312" w:cs="Times New Roman"/>
          <w:snapToGrid/>
          <w:kern w:val="2"/>
          <w:sz w:val="32"/>
          <w:szCs w:val="32"/>
          <w:highlight w:val="none"/>
          <w:lang w:val="en-US" w:eastAsia="zh-CN" w:bidi="ar-SA"/>
        </w:rPr>
        <w:t>（四）国有资产占用情况</w:t>
      </w:r>
    </w:p>
    <w:p w14:paraId="29859C4B">
      <w:pPr>
        <w:keepNext w:val="0"/>
        <w:keepLines w:val="0"/>
        <w:pageBreakBefore w:val="0"/>
        <w:widowControl w:val="0"/>
        <w:kinsoku/>
        <w:wordWrap/>
        <w:overflowPunct/>
        <w:topLinePunct w:val="0"/>
        <w:autoSpaceDE/>
        <w:autoSpaceDN/>
        <w:bidi w:val="0"/>
        <w:adjustRightInd/>
        <w:snapToGrid/>
        <w:spacing w:line="560" w:lineRule="exact"/>
        <w:ind w:left="0" w:right="0" w:firstLine="640"/>
        <w:jc w:val="both"/>
        <w:textAlignment w:val="auto"/>
        <w:rPr>
          <w:rFonts w:hint="default" w:ascii="Times New Roman" w:hAnsi="Times New Roman" w:eastAsia="仿宋_GB2312" w:cs="Times New Roman"/>
          <w:snapToGrid/>
          <w:kern w:val="2"/>
          <w:sz w:val="32"/>
          <w:szCs w:val="32"/>
          <w:highlight w:val="none"/>
          <w:lang w:val="en-US" w:eastAsia="zh-CN" w:bidi="ar-SA"/>
        </w:rPr>
      </w:pPr>
      <w:r>
        <w:rPr>
          <w:rFonts w:hint="default" w:ascii="Times New Roman" w:hAnsi="Times New Roman" w:eastAsia="仿宋_GB2312" w:cs="Times New Roman"/>
          <w:snapToGrid/>
          <w:kern w:val="2"/>
          <w:sz w:val="32"/>
          <w:szCs w:val="32"/>
          <w:highlight w:val="none"/>
          <w:lang w:val="en-US" w:eastAsia="zh-CN" w:bidi="ar-SA"/>
        </w:rPr>
        <w:t>我单位共有车辆13辆，其中：一般公务用车4辆、一般执法执勤用车0辆、特种专业技术用车0辆；其他用车9辆，其他用车主要是：应急保障用车和机要通信用车；单价50万元以上通用设备0套，单位价值100万元以上专用设备0套。</w:t>
      </w:r>
    </w:p>
    <w:p w14:paraId="787E7C30">
      <w:pPr>
        <w:keepNext w:val="0"/>
        <w:keepLines w:val="0"/>
        <w:pageBreakBefore w:val="0"/>
        <w:widowControl w:val="0"/>
        <w:kinsoku/>
        <w:wordWrap/>
        <w:overflowPunct/>
        <w:topLinePunct w:val="0"/>
        <w:autoSpaceDE/>
        <w:autoSpaceDN/>
        <w:bidi w:val="0"/>
        <w:adjustRightInd/>
        <w:snapToGrid/>
        <w:spacing w:line="560" w:lineRule="exact"/>
        <w:ind w:left="0" w:right="0" w:firstLine="640"/>
        <w:jc w:val="both"/>
        <w:textAlignment w:val="auto"/>
        <w:rPr>
          <w:rFonts w:hint="default" w:ascii="Times New Roman" w:hAnsi="Times New Roman" w:eastAsia="仿宋_GB2312" w:cs="Times New Roman"/>
          <w:snapToGrid/>
          <w:kern w:val="2"/>
          <w:sz w:val="32"/>
          <w:szCs w:val="32"/>
          <w:highlight w:val="none"/>
          <w:lang w:val="en-US" w:eastAsia="zh-CN" w:bidi="ar-SA"/>
        </w:rPr>
      </w:pPr>
      <w:r>
        <w:rPr>
          <w:rFonts w:hint="default" w:ascii="Times New Roman" w:hAnsi="Times New Roman" w:eastAsia="仿宋_GB2312" w:cs="Times New Roman"/>
          <w:snapToGrid/>
          <w:kern w:val="2"/>
          <w:sz w:val="32"/>
          <w:szCs w:val="32"/>
          <w:highlight w:val="none"/>
          <w:lang w:val="en-US" w:eastAsia="zh-CN" w:bidi="ar-SA"/>
        </w:rPr>
        <w:t>（五）专项转移支付项目情况</w:t>
      </w:r>
    </w:p>
    <w:p w14:paraId="15E2AEEA">
      <w:pPr>
        <w:keepNext w:val="0"/>
        <w:keepLines w:val="0"/>
        <w:pageBreakBefore w:val="0"/>
        <w:widowControl w:val="0"/>
        <w:kinsoku/>
        <w:wordWrap/>
        <w:overflowPunct/>
        <w:topLinePunct w:val="0"/>
        <w:autoSpaceDE/>
        <w:autoSpaceDN/>
        <w:bidi w:val="0"/>
        <w:adjustRightInd/>
        <w:snapToGrid/>
        <w:spacing w:line="560" w:lineRule="exact"/>
        <w:ind w:left="0" w:right="0" w:firstLine="640"/>
        <w:jc w:val="both"/>
        <w:textAlignment w:val="auto"/>
        <w:rPr>
          <w:rFonts w:hint="eastAsia" w:ascii="仿宋_GB2312" w:hAnsi="Calibri" w:eastAsia="仿宋_GB2312" w:cs="Times New Roman"/>
          <w:snapToGrid/>
          <w:kern w:val="2"/>
          <w:sz w:val="32"/>
          <w:szCs w:val="32"/>
          <w:highlight w:val="none"/>
          <w:lang w:val="en-US" w:eastAsia="zh-CN" w:bidi="ar-SA"/>
        </w:rPr>
        <w:sectPr>
          <w:pgSz w:w="11900" w:h="16820"/>
          <w:pgMar w:top="1440" w:right="1800" w:bottom="1440" w:left="1800" w:header="0" w:footer="0" w:gutter="0"/>
          <w:cols w:space="720" w:num="1"/>
        </w:sectPr>
      </w:pPr>
      <w:r>
        <w:rPr>
          <w:rFonts w:hint="default" w:ascii="Times New Roman" w:hAnsi="Times New Roman" w:eastAsia="仿宋_GB2312" w:cs="Times New Roman"/>
          <w:snapToGrid/>
          <w:kern w:val="2"/>
          <w:sz w:val="32"/>
          <w:szCs w:val="32"/>
          <w:highlight w:val="none"/>
          <w:lang w:val="en-US" w:eastAsia="zh-CN" w:bidi="ar-SA"/>
        </w:rPr>
        <w:t>三门峡市城乡一体化示范区</w:t>
      </w:r>
      <w:r>
        <w:rPr>
          <w:rFonts w:hint="eastAsia" w:ascii="Times New Roman" w:hAnsi="Times New Roman" w:eastAsia="仿宋_GB2312" w:cs="Times New Roman"/>
          <w:snapToGrid/>
          <w:kern w:val="2"/>
          <w:sz w:val="32"/>
          <w:szCs w:val="32"/>
          <w:highlight w:val="none"/>
          <w:lang w:val="en-US" w:eastAsia="zh-CN" w:bidi="ar-SA"/>
        </w:rPr>
        <w:t>党政</w:t>
      </w:r>
      <w:r>
        <w:rPr>
          <w:rFonts w:hint="default" w:ascii="Times New Roman" w:hAnsi="Times New Roman" w:eastAsia="仿宋_GB2312" w:cs="Times New Roman"/>
          <w:snapToGrid/>
          <w:kern w:val="2"/>
          <w:sz w:val="32"/>
          <w:szCs w:val="32"/>
          <w:highlight w:val="none"/>
          <w:lang w:val="en-US" w:eastAsia="zh-CN" w:bidi="ar-SA"/>
        </w:rPr>
        <w:t>办公室负责管理的专项转移支付项目共有0项。我单位将</w:t>
      </w:r>
      <w:bookmarkStart w:id="0" w:name="_GoBack"/>
      <w:bookmarkEnd w:id="0"/>
      <w:r>
        <w:rPr>
          <w:rFonts w:hint="default" w:ascii="Times New Roman" w:hAnsi="Times New Roman" w:eastAsia="仿宋_GB2312" w:cs="Times New Roman"/>
          <w:snapToGrid/>
          <w:kern w:val="2"/>
          <w:sz w:val="32"/>
          <w:szCs w:val="32"/>
          <w:highlight w:val="none"/>
          <w:lang w:val="en-US" w:eastAsia="zh-CN" w:bidi="ar-SA"/>
        </w:rPr>
        <w:t>按照《预算法》等有关规定，积极做好项目分配前期准备工作，在规定的时间内向财政部门提出资金分配意见，根据有关要求做好项目申报公开等相关工作。</w:t>
      </w:r>
    </w:p>
    <w:p w14:paraId="0BAD58A0">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jc w:val="center"/>
        <w:textAlignment w:val="baseline"/>
        <w:rPr>
          <w:rFonts w:hint="eastAsia" w:ascii="黑体" w:hAnsi="黑体" w:eastAsia="黑体" w:cs="黑体"/>
          <w:b w:val="0"/>
          <w:bCs w:val="0"/>
          <w:color w:val="auto"/>
          <w:spacing w:val="19"/>
          <w:sz w:val="32"/>
          <w:szCs w:val="32"/>
          <w:highlight w:val="none"/>
        </w:rPr>
      </w:pPr>
      <w:r>
        <w:rPr>
          <w:rFonts w:hint="eastAsia" w:ascii="黑体" w:hAnsi="黑体" w:eastAsia="黑体" w:cs="黑体"/>
          <w:b w:val="0"/>
          <w:bCs w:val="0"/>
          <w:color w:val="auto"/>
          <w:spacing w:val="19"/>
          <w:sz w:val="32"/>
          <w:szCs w:val="32"/>
          <w:highlight w:val="none"/>
        </w:rPr>
        <w:t>第三部分</w:t>
      </w:r>
    </w:p>
    <w:p w14:paraId="46C8C0E6">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jc w:val="center"/>
        <w:textAlignment w:val="baseline"/>
        <w:rPr>
          <w:rFonts w:hint="eastAsia" w:ascii="黑体" w:hAnsi="黑体" w:eastAsia="黑体" w:cs="黑体"/>
          <w:b w:val="0"/>
          <w:bCs w:val="0"/>
          <w:color w:val="auto"/>
          <w:spacing w:val="19"/>
          <w:sz w:val="32"/>
          <w:szCs w:val="32"/>
          <w:highlight w:val="none"/>
        </w:rPr>
      </w:pPr>
      <w:r>
        <w:rPr>
          <w:rFonts w:hint="eastAsia" w:ascii="黑体" w:hAnsi="黑体" w:eastAsia="黑体" w:cs="黑体"/>
          <w:b w:val="0"/>
          <w:bCs w:val="0"/>
          <w:color w:val="auto"/>
          <w:spacing w:val="19"/>
          <w:sz w:val="32"/>
          <w:szCs w:val="32"/>
          <w:highlight w:val="none"/>
        </w:rPr>
        <w:t>名词解释</w:t>
      </w:r>
    </w:p>
    <w:p w14:paraId="05ACCC28">
      <w:pPr>
        <w:keepNext w:val="0"/>
        <w:keepLines w:val="0"/>
        <w:pageBreakBefore w:val="0"/>
        <w:widowControl w:val="0"/>
        <w:kinsoku/>
        <w:wordWrap/>
        <w:overflowPunct/>
        <w:topLinePunct w:val="0"/>
        <w:autoSpaceDE/>
        <w:autoSpaceDN/>
        <w:bidi w:val="0"/>
        <w:adjustRightInd/>
        <w:snapToGrid/>
        <w:spacing w:line="560" w:lineRule="exact"/>
        <w:ind w:left="0" w:right="0" w:firstLine="640"/>
        <w:jc w:val="both"/>
        <w:textAlignment w:val="auto"/>
        <w:rPr>
          <w:rFonts w:hint="default" w:ascii="Times New Roman" w:hAnsi="Times New Roman" w:eastAsia="仿宋_GB2312" w:cs="Times New Roman"/>
          <w:b w:val="0"/>
          <w:bCs w:val="0"/>
          <w:snapToGrid/>
          <w:color w:val="auto"/>
          <w:kern w:val="2"/>
          <w:sz w:val="32"/>
          <w:szCs w:val="32"/>
          <w:highlight w:val="none"/>
          <w:lang w:val="en-US" w:eastAsia="zh-CN" w:bidi="ar-SA"/>
        </w:rPr>
      </w:pPr>
      <w:r>
        <w:rPr>
          <w:rFonts w:hint="default" w:ascii="Times New Roman" w:hAnsi="Times New Roman" w:eastAsia="仿宋_GB2312" w:cs="Times New Roman"/>
          <w:b w:val="0"/>
          <w:bCs w:val="0"/>
          <w:snapToGrid/>
          <w:color w:val="auto"/>
          <w:kern w:val="2"/>
          <w:sz w:val="32"/>
          <w:szCs w:val="32"/>
          <w:highlight w:val="none"/>
          <w:lang w:val="en-US" w:eastAsia="zh-CN" w:bidi="ar-SA"/>
        </w:rPr>
        <w:t>一、财政拨款收入：是指市级财政当年拨付的资金；包括一般公共预算拨款、政府性基金预算拨款、国有资本经营预算拨款。</w:t>
      </w:r>
    </w:p>
    <w:p w14:paraId="250699A4">
      <w:pPr>
        <w:keepNext w:val="0"/>
        <w:keepLines w:val="0"/>
        <w:pageBreakBefore w:val="0"/>
        <w:widowControl w:val="0"/>
        <w:kinsoku/>
        <w:wordWrap/>
        <w:overflowPunct/>
        <w:topLinePunct w:val="0"/>
        <w:autoSpaceDE/>
        <w:autoSpaceDN/>
        <w:bidi w:val="0"/>
        <w:adjustRightInd/>
        <w:snapToGrid/>
        <w:spacing w:line="560" w:lineRule="exact"/>
        <w:ind w:left="0" w:right="0" w:firstLine="640"/>
        <w:jc w:val="both"/>
        <w:textAlignment w:val="auto"/>
        <w:rPr>
          <w:rFonts w:hint="default" w:ascii="Times New Roman" w:hAnsi="Times New Roman" w:eastAsia="仿宋_GB2312" w:cs="Times New Roman"/>
          <w:b w:val="0"/>
          <w:bCs w:val="0"/>
          <w:snapToGrid/>
          <w:color w:val="auto"/>
          <w:kern w:val="2"/>
          <w:sz w:val="32"/>
          <w:szCs w:val="32"/>
          <w:highlight w:val="none"/>
          <w:lang w:val="en-US" w:eastAsia="zh-CN" w:bidi="ar-SA"/>
        </w:rPr>
      </w:pPr>
      <w:r>
        <w:rPr>
          <w:rFonts w:hint="default" w:ascii="Times New Roman" w:hAnsi="Times New Roman" w:eastAsia="仿宋_GB2312" w:cs="Times New Roman"/>
          <w:b w:val="0"/>
          <w:bCs w:val="0"/>
          <w:snapToGrid/>
          <w:color w:val="auto"/>
          <w:kern w:val="2"/>
          <w:sz w:val="32"/>
          <w:szCs w:val="32"/>
          <w:highlight w:val="none"/>
          <w:lang w:val="en-US" w:eastAsia="zh-CN" w:bidi="ar-SA"/>
        </w:rPr>
        <w:t>二、财政专户管理资金：是指缴入财政专户、实行专项管理的高中以上学费、住宿费、高校委托培养费、函大、电大、夜大及短训班培训费等教育收费。</w:t>
      </w:r>
    </w:p>
    <w:p w14:paraId="1683C9A3">
      <w:pPr>
        <w:keepNext w:val="0"/>
        <w:keepLines w:val="0"/>
        <w:pageBreakBefore w:val="0"/>
        <w:widowControl w:val="0"/>
        <w:kinsoku/>
        <w:wordWrap/>
        <w:overflowPunct/>
        <w:topLinePunct w:val="0"/>
        <w:autoSpaceDE/>
        <w:autoSpaceDN/>
        <w:bidi w:val="0"/>
        <w:adjustRightInd/>
        <w:snapToGrid/>
        <w:spacing w:line="560" w:lineRule="exact"/>
        <w:ind w:left="0" w:right="0" w:firstLine="640"/>
        <w:jc w:val="both"/>
        <w:textAlignment w:val="auto"/>
        <w:rPr>
          <w:rFonts w:hint="default" w:ascii="Times New Roman" w:hAnsi="Times New Roman" w:eastAsia="仿宋_GB2312" w:cs="Times New Roman"/>
          <w:b w:val="0"/>
          <w:bCs w:val="0"/>
          <w:snapToGrid/>
          <w:color w:val="auto"/>
          <w:kern w:val="2"/>
          <w:sz w:val="32"/>
          <w:szCs w:val="32"/>
          <w:highlight w:val="none"/>
          <w:lang w:val="en-US" w:eastAsia="zh-CN" w:bidi="ar-SA"/>
        </w:rPr>
      </w:pPr>
      <w:r>
        <w:rPr>
          <w:rFonts w:hint="default" w:ascii="Times New Roman" w:hAnsi="Times New Roman" w:eastAsia="仿宋_GB2312" w:cs="Times New Roman"/>
          <w:b w:val="0"/>
          <w:bCs w:val="0"/>
          <w:snapToGrid/>
          <w:color w:val="auto"/>
          <w:kern w:val="2"/>
          <w:sz w:val="32"/>
          <w:szCs w:val="32"/>
          <w:highlight w:val="none"/>
          <w:lang w:val="en-US" w:eastAsia="zh-CN" w:bidi="ar-SA"/>
        </w:rPr>
        <w:t>三、事业收入：是指事业单位开展专业活动及辅助活动所取得的收入，不包括教育收费。</w:t>
      </w:r>
    </w:p>
    <w:p w14:paraId="4F3B0808">
      <w:pPr>
        <w:keepNext w:val="0"/>
        <w:keepLines w:val="0"/>
        <w:pageBreakBefore w:val="0"/>
        <w:widowControl w:val="0"/>
        <w:kinsoku/>
        <w:wordWrap/>
        <w:overflowPunct/>
        <w:topLinePunct w:val="0"/>
        <w:autoSpaceDE/>
        <w:autoSpaceDN/>
        <w:bidi w:val="0"/>
        <w:adjustRightInd/>
        <w:snapToGrid/>
        <w:spacing w:line="560" w:lineRule="exact"/>
        <w:ind w:left="0" w:right="0" w:firstLine="640"/>
        <w:jc w:val="both"/>
        <w:textAlignment w:val="auto"/>
        <w:rPr>
          <w:rFonts w:hint="default" w:ascii="Times New Roman" w:hAnsi="Times New Roman" w:eastAsia="仿宋_GB2312" w:cs="Times New Roman"/>
          <w:b w:val="0"/>
          <w:bCs w:val="0"/>
          <w:snapToGrid/>
          <w:color w:val="auto"/>
          <w:kern w:val="2"/>
          <w:sz w:val="32"/>
          <w:szCs w:val="32"/>
          <w:highlight w:val="none"/>
          <w:lang w:val="en-US" w:eastAsia="zh-CN" w:bidi="ar-SA"/>
        </w:rPr>
      </w:pPr>
      <w:r>
        <w:rPr>
          <w:rFonts w:hint="default" w:ascii="Times New Roman" w:hAnsi="Times New Roman" w:eastAsia="仿宋_GB2312" w:cs="Times New Roman"/>
          <w:b w:val="0"/>
          <w:bCs w:val="0"/>
          <w:snapToGrid/>
          <w:color w:val="auto"/>
          <w:kern w:val="2"/>
          <w:sz w:val="32"/>
          <w:szCs w:val="32"/>
          <w:highlight w:val="none"/>
          <w:lang w:val="en-US" w:eastAsia="zh-CN" w:bidi="ar-SA"/>
        </w:rPr>
        <w:t>四、事业单位经营收入：是指事业单位在专业业务活动及其辅助活动之外开展非独立核算经营活动取得的收入。</w:t>
      </w:r>
    </w:p>
    <w:p w14:paraId="78C889A8">
      <w:pPr>
        <w:keepNext w:val="0"/>
        <w:keepLines w:val="0"/>
        <w:pageBreakBefore w:val="0"/>
        <w:widowControl w:val="0"/>
        <w:kinsoku/>
        <w:wordWrap/>
        <w:overflowPunct/>
        <w:topLinePunct w:val="0"/>
        <w:autoSpaceDE/>
        <w:autoSpaceDN/>
        <w:bidi w:val="0"/>
        <w:adjustRightInd/>
        <w:snapToGrid/>
        <w:spacing w:line="560" w:lineRule="exact"/>
        <w:ind w:left="0" w:right="0" w:firstLine="640"/>
        <w:jc w:val="both"/>
        <w:textAlignment w:val="auto"/>
        <w:rPr>
          <w:rFonts w:hint="default" w:ascii="Times New Roman" w:hAnsi="Times New Roman" w:eastAsia="仿宋_GB2312" w:cs="Times New Roman"/>
          <w:b w:val="0"/>
          <w:bCs w:val="0"/>
          <w:snapToGrid/>
          <w:color w:val="auto"/>
          <w:kern w:val="2"/>
          <w:sz w:val="32"/>
          <w:szCs w:val="32"/>
          <w:highlight w:val="none"/>
          <w:lang w:val="en-US" w:eastAsia="zh-CN" w:bidi="ar-SA"/>
        </w:rPr>
      </w:pPr>
      <w:r>
        <w:rPr>
          <w:rFonts w:hint="default" w:ascii="Times New Roman" w:hAnsi="Times New Roman" w:eastAsia="仿宋_GB2312" w:cs="Times New Roman"/>
          <w:b w:val="0"/>
          <w:bCs w:val="0"/>
          <w:snapToGrid/>
          <w:color w:val="auto"/>
          <w:kern w:val="2"/>
          <w:sz w:val="32"/>
          <w:szCs w:val="32"/>
          <w:highlight w:val="none"/>
          <w:lang w:val="en-US" w:eastAsia="zh-CN" w:bidi="ar-SA"/>
        </w:rPr>
        <w:t>五、其他收入：是指部门取得的除“财政拨款”、“事业收入”、“事业单位经营收入”等以外的收入。</w:t>
      </w:r>
    </w:p>
    <w:p w14:paraId="60DDAD85">
      <w:pPr>
        <w:keepNext w:val="0"/>
        <w:keepLines w:val="0"/>
        <w:pageBreakBefore w:val="0"/>
        <w:widowControl w:val="0"/>
        <w:kinsoku/>
        <w:wordWrap/>
        <w:overflowPunct/>
        <w:topLinePunct w:val="0"/>
        <w:autoSpaceDE/>
        <w:autoSpaceDN/>
        <w:bidi w:val="0"/>
        <w:adjustRightInd/>
        <w:snapToGrid/>
        <w:spacing w:line="560" w:lineRule="exact"/>
        <w:ind w:left="0" w:right="0" w:firstLine="640"/>
        <w:jc w:val="both"/>
        <w:textAlignment w:val="auto"/>
        <w:rPr>
          <w:rFonts w:hint="default" w:ascii="Times New Roman" w:hAnsi="Times New Roman" w:eastAsia="仿宋_GB2312" w:cs="Times New Roman"/>
          <w:b w:val="0"/>
          <w:bCs w:val="0"/>
          <w:snapToGrid/>
          <w:color w:val="auto"/>
          <w:kern w:val="2"/>
          <w:sz w:val="32"/>
          <w:szCs w:val="32"/>
          <w:highlight w:val="none"/>
          <w:lang w:val="en-US" w:eastAsia="zh-CN" w:bidi="ar-SA"/>
        </w:rPr>
      </w:pPr>
      <w:r>
        <w:rPr>
          <w:rFonts w:hint="default" w:ascii="Times New Roman" w:hAnsi="Times New Roman" w:eastAsia="仿宋_GB2312" w:cs="Times New Roman"/>
          <w:b w:val="0"/>
          <w:bCs w:val="0"/>
          <w:snapToGrid/>
          <w:color w:val="auto"/>
          <w:kern w:val="2"/>
          <w:sz w:val="32"/>
          <w:szCs w:val="32"/>
          <w:highlight w:val="none"/>
          <w:lang w:val="en-US" w:eastAsia="zh-CN" w:bidi="ar-SA"/>
        </w:rPr>
        <w:t>六、用事业基金弥补收支差额：是指事业单位在当年的“财政拨款收入”、“事业收入”、“经营收入”和“其他收入”不足以安排当年支出的情况下，使用以前年度积累的事业基金（即事业单位以前各年度收支相抵后，按国家规定提取、用于弥补以后年度收支差额的基金）弥补当年收支缺口的资金。</w:t>
      </w:r>
    </w:p>
    <w:p w14:paraId="17240381">
      <w:pPr>
        <w:keepNext w:val="0"/>
        <w:keepLines w:val="0"/>
        <w:pageBreakBefore w:val="0"/>
        <w:widowControl w:val="0"/>
        <w:wordWrap/>
        <w:overflowPunct/>
        <w:topLinePunct w:val="0"/>
        <w:bidi w:val="0"/>
        <w:spacing w:line="560" w:lineRule="exact"/>
        <w:ind w:left="0" w:right="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val="0"/>
          <w:bCs w:val="0"/>
          <w:snapToGrid/>
          <w:color w:val="auto"/>
          <w:kern w:val="2"/>
          <w:sz w:val="32"/>
          <w:szCs w:val="32"/>
          <w:highlight w:val="none"/>
          <w:lang w:val="en-US" w:eastAsia="zh-CN" w:bidi="ar-SA"/>
        </w:rPr>
        <w:t>七、基本支出：是指为保障机构正常运转、完成日常工作任务所必需的开支，其内容包括人员经费和日常公用经费两部分。</w:t>
      </w:r>
    </w:p>
    <w:p w14:paraId="63830621">
      <w:pPr>
        <w:keepNext w:val="0"/>
        <w:keepLines w:val="0"/>
        <w:pageBreakBefore w:val="0"/>
        <w:widowControl w:val="0"/>
        <w:kinsoku/>
        <w:wordWrap/>
        <w:overflowPunct/>
        <w:topLinePunct w:val="0"/>
        <w:autoSpaceDE/>
        <w:autoSpaceDN/>
        <w:bidi w:val="0"/>
        <w:adjustRightInd/>
        <w:snapToGrid/>
        <w:spacing w:line="560" w:lineRule="exact"/>
        <w:ind w:left="0" w:right="0" w:firstLine="640"/>
        <w:jc w:val="both"/>
        <w:textAlignment w:val="auto"/>
        <w:rPr>
          <w:rFonts w:hint="default" w:ascii="Times New Roman" w:hAnsi="Times New Roman" w:eastAsia="仿宋_GB2312" w:cs="Times New Roman"/>
          <w:b w:val="0"/>
          <w:bCs w:val="0"/>
          <w:snapToGrid/>
          <w:color w:val="auto"/>
          <w:kern w:val="2"/>
          <w:sz w:val="32"/>
          <w:szCs w:val="32"/>
          <w:highlight w:val="none"/>
          <w:lang w:val="en-US" w:eastAsia="zh-CN" w:bidi="ar-SA"/>
        </w:rPr>
      </w:pPr>
      <w:r>
        <w:rPr>
          <w:rFonts w:hint="default" w:ascii="Times New Roman" w:hAnsi="Times New Roman" w:eastAsia="仿宋_GB2312" w:cs="Times New Roman"/>
          <w:b w:val="0"/>
          <w:bCs w:val="0"/>
          <w:snapToGrid/>
          <w:color w:val="auto"/>
          <w:kern w:val="2"/>
          <w:sz w:val="32"/>
          <w:szCs w:val="32"/>
          <w:highlight w:val="none"/>
          <w:lang w:val="en-US" w:eastAsia="zh-CN" w:bidi="ar-SA"/>
        </w:rPr>
        <w:t>八、项目支出：是指在基本支出之外，为完成特定的行政工作任务或事业发展目标所发生的支出。</w:t>
      </w:r>
    </w:p>
    <w:p w14:paraId="7A71D874">
      <w:pPr>
        <w:keepNext w:val="0"/>
        <w:keepLines w:val="0"/>
        <w:pageBreakBefore w:val="0"/>
        <w:widowControl w:val="0"/>
        <w:kinsoku/>
        <w:wordWrap/>
        <w:overflowPunct/>
        <w:topLinePunct w:val="0"/>
        <w:autoSpaceDE/>
        <w:autoSpaceDN/>
        <w:bidi w:val="0"/>
        <w:adjustRightInd/>
        <w:snapToGrid/>
        <w:spacing w:line="560" w:lineRule="exact"/>
        <w:ind w:left="0" w:right="0" w:firstLine="640"/>
        <w:jc w:val="both"/>
        <w:textAlignment w:val="auto"/>
        <w:rPr>
          <w:rFonts w:hint="default" w:ascii="Times New Roman" w:hAnsi="Times New Roman" w:eastAsia="仿宋_GB2312" w:cs="Times New Roman"/>
          <w:b w:val="0"/>
          <w:bCs w:val="0"/>
          <w:snapToGrid/>
          <w:color w:val="auto"/>
          <w:kern w:val="2"/>
          <w:sz w:val="32"/>
          <w:szCs w:val="32"/>
          <w:highlight w:val="none"/>
          <w:lang w:val="en-US" w:eastAsia="zh-CN" w:bidi="ar-SA"/>
        </w:rPr>
      </w:pPr>
      <w:r>
        <w:rPr>
          <w:rFonts w:hint="default" w:ascii="Times New Roman" w:hAnsi="Times New Roman" w:eastAsia="仿宋_GB2312" w:cs="Times New Roman"/>
          <w:b w:val="0"/>
          <w:bCs w:val="0"/>
          <w:snapToGrid/>
          <w:color w:val="auto"/>
          <w:kern w:val="2"/>
          <w:sz w:val="32"/>
          <w:szCs w:val="32"/>
          <w:highlight w:val="none"/>
          <w:lang w:val="en-US" w:eastAsia="zh-CN" w:bidi="ar-SA"/>
        </w:rPr>
        <w:t>九、“三公”经费：是指纳入市级财政预算管理，部门使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750ABB11">
      <w:pPr>
        <w:keepNext w:val="0"/>
        <w:keepLines w:val="0"/>
        <w:pageBreakBefore w:val="0"/>
        <w:widowControl w:val="0"/>
        <w:kinsoku/>
        <w:wordWrap/>
        <w:overflowPunct/>
        <w:topLinePunct w:val="0"/>
        <w:autoSpaceDE/>
        <w:autoSpaceDN/>
        <w:bidi w:val="0"/>
        <w:adjustRightInd/>
        <w:snapToGrid/>
        <w:spacing w:line="560" w:lineRule="exact"/>
        <w:ind w:left="0" w:right="0" w:firstLine="640"/>
        <w:jc w:val="both"/>
        <w:textAlignment w:val="auto"/>
        <w:rPr>
          <w:rFonts w:hint="default" w:ascii="Times New Roman" w:hAnsi="Times New Roman" w:eastAsia="仿宋_GB2312" w:cs="Times New Roman"/>
          <w:b w:val="0"/>
          <w:bCs w:val="0"/>
          <w:snapToGrid/>
          <w:color w:val="auto"/>
          <w:kern w:val="2"/>
          <w:sz w:val="32"/>
          <w:szCs w:val="32"/>
          <w:highlight w:val="none"/>
          <w:lang w:val="en-US" w:eastAsia="zh-CN" w:bidi="ar-SA"/>
        </w:rPr>
      </w:pPr>
      <w:r>
        <w:rPr>
          <w:rFonts w:hint="default" w:ascii="Times New Roman" w:hAnsi="Times New Roman" w:eastAsia="仿宋_GB2312" w:cs="Times New Roman"/>
          <w:b w:val="0"/>
          <w:bCs w:val="0"/>
          <w:snapToGrid/>
          <w:color w:val="auto"/>
          <w:kern w:val="2"/>
          <w:sz w:val="32"/>
          <w:szCs w:val="32"/>
          <w:highlight w:val="none"/>
          <w:lang w:val="en-US" w:eastAsia="zh-CN" w:bidi="ar-SA"/>
        </w:rPr>
        <w:t>十、机构运行经费：是指为保障行政事业单位运行用于购买货物和服务的各项资金，包括办公及印刷费、邮电费、差旅费、会议费、福利费、日常维修费及一般设备购置费、办公用房水电费、办公用房取暖费、办公用房物业管理费、公务用车运行维护费以及其他费用。</w:t>
      </w:r>
    </w:p>
    <w:p w14:paraId="60AF222C">
      <w:pPr>
        <w:keepNext w:val="0"/>
        <w:keepLines w:val="0"/>
        <w:pageBreakBefore w:val="0"/>
        <w:widowControl w:val="0"/>
        <w:kinsoku/>
        <w:wordWrap/>
        <w:overflowPunct/>
        <w:topLinePunct w:val="0"/>
        <w:autoSpaceDE/>
        <w:autoSpaceDN/>
        <w:bidi w:val="0"/>
        <w:adjustRightInd/>
        <w:snapToGrid/>
        <w:spacing w:line="560" w:lineRule="exact"/>
        <w:ind w:left="0" w:right="0" w:firstLine="640"/>
        <w:jc w:val="both"/>
        <w:textAlignment w:val="auto"/>
        <w:rPr>
          <w:rFonts w:hint="default" w:ascii="Times New Roman" w:hAnsi="Times New Roman" w:eastAsia="仿宋_GB2312" w:cs="Times New Roman"/>
          <w:b w:val="0"/>
          <w:bCs w:val="0"/>
          <w:snapToGrid/>
          <w:color w:val="auto"/>
          <w:kern w:val="2"/>
          <w:sz w:val="32"/>
          <w:szCs w:val="32"/>
          <w:highlight w:val="none"/>
          <w:lang w:val="en-US" w:eastAsia="zh-CN" w:bidi="ar-SA"/>
        </w:rPr>
      </w:pPr>
    </w:p>
    <w:p w14:paraId="211C00E3">
      <w:pPr>
        <w:keepNext w:val="0"/>
        <w:keepLines w:val="0"/>
        <w:pageBreakBefore w:val="0"/>
        <w:widowControl w:val="0"/>
        <w:kinsoku/>
        <w:wordWrap/>
        <w:overflowPunct/>
        <w:topLinePunct w:val="0"/>
        <w:autoSpaceDE/>
        <w:autoSpaceDN/>
        <w:bidi w:val="0"/>
        <w:adjustRightInd/>
        <w:snapToGrid/>
        <w:spacing w:line="560" w:lineRule="exact"/>
        <w:ind w:left="0" w:right="0" w:firstLine="640"/>
        <w:jc w:val="both"/>
        <w:textAlignment w:val="auto"/>
        <w:rPr>
          <w:rFonts w:hint="default" w:ascii="Times New Roman" w:hAnsi="Times New Roman" w:eastAsia="仿宋_GB2312" w:cs="Times New Roman"/>
          <w:b w:val="0"/>
          <w:bCs w:val="0"/>
          <w:snapToGrid/>
          <w:color w:val="auto"/>
          <w:kern w:val="2"/>
          <w:sz w:val="32"/>
          <w:szCs w:val="32"/>
          <w:highlight w:val="none"/>
          <w:lang w:val="en-US" w:eastAsia="zh-CN" w:bidi="ar-SA"/>
        </w:rPr>
      </w:pPr>
    </w:p>
    <w:p w14:paraId="5874508F">
      <w:pPr>
        <w:keepNext w:val="0"/>
        <w:keepLines w:val="0"/>
        <w:pageBreakBefore w:val="0"/>
        <w:widowControl w:val="0"/>
        <w:kinsoku/>
        <w:wordWrap/>
        <w:overflowPunct/>
        <w:topLinePunct w:val="0"/>
        <w:autoSpaceDE/>
        <w:autoSpaceDN/>
        <w:bidi w:val="0"/>
        <w:adjustRightInd/>
        <w:snapToGrid/>
        <w:spacing w:line="560" w:lineRule="exact"/>
        <w:ind w:left="0" w:right="0" w:firstLine="640"/>
        <w:jc w:val="both"/>
        <w:textAlignment w:val="auto"/>
        <w:rPr>
          <w:rFonts w:hint="default" w:ascii="Times New Roman" w:hAnsi="Times New Roman" w:eastAsia="仿宋_GB2312" w:cs="Times New Roman"/>
          <w:b w:val="0"/>
          <w:bCs w:val="0"/>
          <w:snapToGrid/>
          <w:color w:val="auto"/>
          <w:kern w:val="2"/>
          <w:sz w:val="32"/>
          <w:szCs w:val="32"/>
          <w:highlight w:val="none"/>
          <w:lang w:val="en-US" w:eastAsia="zh-CN" w:bidi="ar-SA"/>
        </w:rPr>
      </w:pPr>
    </w:p>
    <w:p w14:paraId="7D18A10F">
      <w:pPr>
        <w:keepNext w:val="0"/>
        <w:keepLines w:val="0"/>
        <w:pageBreakBefore w:val="0"/>
        <w:widowControl w:val="0"/>
        <w:kinsoku/>
        <w:wordWrap/>
        <w:overflowPunct/>
        <w:topLinePunct w:val="0"/>
        <w:autoSpaceDE/>
        <w:autoSpaceDN/>
        <w:bidi w:val="0"/>
        <w:adjustRightInd/>
        <w:snapToGrid/>
        <w:spacing w:line="560" w:lineRule="exact"/>
        <w:ind w:left="0" w:right="0" w:firstLine="640"/>
        <w:jc w:val="both"/>
        <w:textAlignment w:val="auto"/>
        <w:rPr>
          <w:rFonts w:hint="default" w:ascii="Times New Roman" w:hAnsi="Times New Roman" w:eastAsia="仿宋_GB2312" w:cs="Times New Roman"/>
          <w:b w:val="0"/>
          <w:bCs w:val="0"/>
          <w:snapToGrid/>
          <w:color w:val="auto"/>
          <w:kern w:val="2"/>
          <w:sz w:val="32"/>
          <w:szCs w:val="32"/>
          <w:highlight w:val="none"/>
          <w:lang w:val="en-US" w:eastAsia="zh-CN" w:bidi="ar-SA"/>
        </w:rPr>
      </w:pPr>
    </w:p>
    <w:sectPr>
      <w:headerReference r:id="rId5" w:type="default"/>
      <w:pgSz w:w="11900" w:h="16820"/>
      <w:pgMar w:top="1440" w:right="1803" w:bottom="1440" w:left="1803" w:header="0" w:footer="0" w:gutter="0"/>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文星标宋">
    <w:panose1 w:val="0201060900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1E650">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17A1FB8"/>
    <w:rsid w:val="11DE6B1B"/>
    <w:rsid w:val="18B05BC2"/>
    <w:rsid w:val="1A3924B5"/>
    <w:rsid w:val="1E21682D"/>
    <w:rsid w:val="2B7F3BBC"/>
    <w:rsid w:val="3E6541F4"/>
    <w:rsid w:val="4351121B"/>
    <w:rsid w:val="450536C2"/>
    <w:rsid w:val="4F6810EC"/>
    <w:rsid w:val="5520479D"/>
    <w:rsid w:val="55414174"/>
    <w:rsid w:val="56250FB0"/>
    <w:rsid w:val="57E618BF"/>
    <w:rsid w:val="59693CF0"/>
    <w:rsid w:val="66847CA0"/>
    <w:rsid w:val="738B727A"/>
    <w:rsid w:val="754E473D"/>
    <w:rsid w:val="7FFB0B9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0"/>
      <w:szCs w:val="30"/>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9</Pages>
  <Words>3383</Words>
  <Characters>3729</Characters>
  <TotalTime>2</TotalTime>
  <ScaleCrop>false</ScaleCrop>
  <LinksUpToDate>false</LinksUpToDate>
  <CharactersWithSpaces>3729</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2026-09-28T16:17:00Z</dcterms:created>
  <dc:creator>Administrator</dc:creator>
  <cp:lastModifiedBy>遇づ</cp:lastModifiedBy>
  <cp:lastPrinted>2026-10-09T09:03:01Z</cp:lastPrinted>
  <dcterms:modified xsi:type="dcterms:W3CDTF">2026-10-09T09:03:04Z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2026-09-28T16:18:00Z</vt:filetime>
  </property>
  <property fmtid="{D5CDD505-2E9C-101B-9397-08002B2CF9AE}" pid="4" name="UsrData">
    <vt:lpwstr>6aba22b401f6e2001fcbebd8wl</vt:lpwstr>
  </property>
  <property fmtid="{D5CDD505-2E9C-101B-9397-08002B2CF9AE}" pid="5" name="KSOTemplateDocerSaveRecord">
    <vt:lpwstr>eyJoZGlkIjoiZjcxY2M2ZWRkMTBlYTNmMjNmNGE4MjM4Y2VmZDVhM2MiLCJ1c2VySWQiOiI1ODA5MjcyODUifQ==</vt:lpwstr>
  </property>
  <property fmtid="{D5CDD505-2E9C-101B-9397-08002B2CF9AE}" pid="6" name="KSOProductBuildVer">
    <vt:lpwstr>2052-12.1.0.28505</vt:lpwstr>
  </property>
  <property fmtid="{D5CDD505-2E9C-101B-9397-08002B2CF9AE}" pid="7" name="ICV">
    <vt:lpwstr>13F369A9105E4BD0B2619A4A283E4307_13</vt:lpwstr>
  </property>
</Properties>
</file>